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459A1" w14:textId="500C7371" w:rsidR="00461E4B" w:rsidRDefault="00B25319" w:rsidP="00B25319">
      <w:pPr>
        <w:pStyle w:val="Title"/>
        <w:jc w:val="center"/>
        <w:rPr>
          <w:rFonts w:ascii="Times New Roman" w:hAnsi="Times New Roman" w:cs="Times New Roman"/>
        </w:rPr>
      </w:pPr>
      <w:r w:rsidRPr="00B25319">
        <w:rPr>
          <w:rFonts w:ascii="Times New Roman" w:hAnsi="Times New Roman" w:cs="Times New Roman"/>
        </w:rPr>
        <w:t>HIV Trends Analysis</w:t>
      </w:r>
    </w:p>
    <w:p w14:paraId="13749D77" w14:textId="3E60B9EA" w:rsidR="00190047" w:rsidRPr="00190047" w:rsidRDefault="00190047" w:rsidP="00190047">
      <w:pPr>
        <w:jc w:val="center"/>
        <w:rPr>
          <w:rFonts w:ascii="Times New Roman" w:hAnsi="Times New Roman" w:cs="Times New Roman"/>
          <w:b/>
          <w:bCs/>
        </w:rPr>
      </w:pPr>
      <w:r w:rsidRPr="00190047">
        <w:rPr>
          <w:rFonts w:ascii="Times New Roman" w:hAnsi="Times New Roman" w:cs="Times New Roman"/>
          <w:b/>
          <w:bCs/>
        </w:rPr>
        <w:t>Using PowerBI</w:t>
      </w:r>
    </w:p>
    <w:p w14:paraId="6D99848E" w14:textId="77777777" w:rsidR="00B25319" w:rsidRPr="00B25319" w:rsidRDefault="00B25319" w:rsidP="00B25319">
      <w:pPr>
        <w:rPr>
          <w:rFonts w:ascii="Times New Roman" w:hAnsi="Times New Roman" w:cs="Times New Roman"/>
        </w:rPr>
      </w:pPr>
    </w:p>
    <w:p w14:paraId="6BF1F3E4" w14:textId="15A54CCA" w:rsidR="00B25319" w:rsidRPr="00B25319" w:rsidRDefault="00B25319" w:rsidP="00B25319">
      <w:pPr>
        <w:rPr>
          <w:rFonts w:ascii="Times New Roman" w:hAnsi="Times New Roman" w:cs="Times New Roman"/>
          <w:b/>
          <w:bCs/>
          <w:sz w:val="32"/>
          <w:szCs w:val="32"/>
        </w:rPr>
      </w:pPr>
      <w:r w:rsidRPr="00B25319">
        <w:rPr>
          <w:rFonts w:ascii="Times New Roman" w:hAnsi="Times New Roman" w:cs="Times New Roman"/>
          <w:b/>
          <w:bCs/>
          <w:sz w:val="32"/>
          <w:szCs w:val="32"/>
        </w:rPr>
        <w:t>HIV Cases by Period and Region (Line Graph)</w:t>
      </w:r>
    </w:p>
    <w:p w14:paraId="3ABC3EC3" w14:textId="5959D54C" w:rsidR="00B25319" w:rsidRPr="00B25319" w:rsidRDefault="00B25319" w:rsidP="00B25319">
      <w:pPr>
        <w:rPr>
          <w:rFonts w:ascii="Times New Roman" w:hAnsi="Times New Roman" w:cs="Times New Roman"/>
        </w:rPr>
      </w:pPr>
      <w:r w:rsidRPr="00B25319">
        <w:rPr>
          <w:rFonts w:ascii="Times New Roman" w:hAnsi="Times New Roman" w:cs="Times New Roman"/>
          <w:noProof/>
        </w:rPr>
        <w:drawing>
          <wp:inline distT="0" distB="0" distL="0" distR="0" wp14:anchorId="0D1135C9" wp14:editId="1FE2C2D9">
            <wp:extent cx="5934075" cy="3362325"/>
            <wp:effectExtent l="0" t="0" r="9525" b="9525"/>
            <wp:docPr id="112085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006A4B3B" w14:textId="2448BBF2" w:rsidR="00B25319" w:rsidRPr="00B25319" w:rsidRDefault="00B25319" w:rsidP="00B25319">
      <w:pPr>
        <w:rPr>
          <w:rFonts w:ascii="Times New Roman" w:hAnsi="Times New Roman" w:cs="Times New Roman"/>
        </w:rPr>
      </w:pPr>
      <w:r w:rsidRPr="00B25319">
        <w:rPr>
          <w:rFonts w:ascii="Times New Roman" w:hAnsi="Times New Roman" w:cs="Times New Roman"/>
        </w:rPr>
        <w:t>This line graph tracks HIV case numbers over time from 2000 to 2023, broken down by</w:t>
      </w:r>
      <w:r>
        <w:rPr>
          <w:rFonts w:ascii="Times New Roman" w:hAnsi="Times New Roman" w:cs="Times New Roman"/>
        </w:rPr>
        <w:t xml:space="preserve"> WHO</w:t>
      </w:r>
      <w:r w:rsidRPr="00B25319">
        <w:rPr>
          <w:rFonts w:ascii="Times New Roman" w:hAnsi="Times New Roman" w:cs="Times New Roman"/>
        </w:rPr>
        <w:t xml:space="preserve"> region:</w:t>
      </w:r>
    </w:p>
    <w:p w14:paraId="08D4CBB6" w14:textId="77777777" w:rsidR="00B25319" w:rsidRPr="00B25319" w:rsidRDefault="00B25319" w:rsidP="00B25319">
      <w:pPr>
        <w:numPr>
          <w:ilvl w:val="0"/>
          <w:numId w:val="1"/>
        </w:numPr>
        <w:rPr>
          <w:rFonts w:ascii="Times New Roman" w:hAnsi="Times New Roman" w:cs="Times New Roman"/>
        </w:rPr>
      </w:pPr>
      <w:r w:rsidRPr="00B25319">
        <w:rPr>
          <w:rFonts w:ascii="Times New Roman" w:hAnsi="Times New Roman" w:cs="Times New Roman"/>
          <w:b/>
          <w:bCs/>
        </w:rPr>
        <w:t>Africa</w:t>
      </w:r>
      <w:r w:rsidRPr="00B25319">
        <w:rPr>
          <w:rFonts w:ascii="Times New Roman" w:hAnsi="Times New Roman" w:cs="Times New Roman"/>
        </w:rPr>
        <w:t xml:space="preserve"> (blue line) shows the highest case numbers throughout the entire period, starting at approximately 18 million cases in 2000 and rising steadily to about 24-25 million by 2020, after which it plateaus through 2023.</w:t>
      </w:r>
    </w:p>
    <w:p w14:paraId="6697BE36" w14:textId="77777777" w:rsidR="00B25319" w:rsidRPr="00B25319" w:rsidRDefault="00B25319" w:rsidP="00B25319">
      <w:pPr>
        <w:numPr>
          <w:ilvl w:val="0"/>
          <w:numId w:val="1"/>
        </w:numPr>
        <w:rPr>
          <w:rFonts w:ascii="Times New Roman" w:hAnsi="Times New Roman" w:cs="Times New Roman"/>
        </w:rPr>
      </w:pPr>
      <w:r w:rsidRPr="00B25319">
        <w:rPr>
          <w:rFonts w:ascii="Times New Roman" w:hAnsi="Times New Roman" w:cs="Times New Roman"/>
          <w:b/>
          <w:bCs/>
        </w:rPr>
        <w:t>All other regions</w:t>
      </w:r>
      <w:r w:rsidRPr="00B25319">
        <w:rPr>
          <w:rFonts w:ascii="Times New Roman" w:hAnsi="Times New Roman" w:cs="Times New Roman"/>
        </w:rPr>
        <w:t xml:space="preserve"> maintain relatively low case numbers (under 5 million) throughout the entire period.</w:t>
      </w:r>
    </w:p>
    <w:p w14:paraId="666912B1" w14:textId="77777777" w:rsidR="00B25319" w:rsidRPr="00B25319" w:rsidRDefault="00B25319" w:rsidP="00B25319">
      <w:pPr>
        <w:numPr>
          <w:ilvl w:val="0"/>
          <w:numId w:val="1"/>
        </w:numPr>
        <w:rPr>
          <w:rFonts w:ascii="Times New Roman" w:hAnsi="Times New Roman" w:cs="Times New Roman"/>
        </w:rPr>
      </w:pPr>
      <w:r w:rsidRPr="00B25319">
        <w:rPr>
          <w:rFonts w:ascii="Times New Roman" w:hAnsi="Times New Roman" w:cs="Times New Roman"/>
          <w:b/>
          <w:bCs/>
        </w:rPr>
        <w:t>South-East Asia</w:t>
      </w:r>
      <w:r w:rsidRPr="00B25319">
        <w:rPr>
          <w:rFonts w:ascii="Times New Roman" w:hAnsi="Times New Roman" w:cs="Times New Roman"/>
        </w:rPr>
        <w:t xml:space="preserve"> (pink line) shows a notable surge between 2022 and 2023, rising more steeply than any other region in that final year.</w:t>
      </w:r>
    </w:p>
    <w:p w14:paraId="67FEF633" w14:textId="77777777" w:rsidR="00B25319" w:rsidRPr="00B25319" w:rsidRDefault="00B25319" w:rsidP="00B25319">
      <w:pPr>
        <w:numPr>
          <w:ilvl w:val="0"/>
          <w:numId w:val="1"/>
        </w:numPr>
        <w:rPr>
          <w:rFonts w:ascii="Times New Roman" w:hAnsi="Times New Roman" w:cs="Times New Roman"/>
        </w:rPr>
      </w:pPr>
      <w:r w:rsidRPr="00B25319">
        <w:rPr>
          <w:rFonts w:ascii="Times New Roman" w:hAnsi="Times New Roman" w:cs="Times New Roman"/>
          <w:b/>
          <w:bCs/>
        </w:rPr>
        <w:t>The Americas</w:t>
      </w:r>
      <w:r w:rsidRPr="00B25319">
        <w:rPr>
          <w:rFonts w:ascii="Times New Roman" w:hAnsi="Times New Roman" w:cs="Times New Roman"/>
        </w:rPr>
        <w:t xml:space="preserve"> (dark blue line) shows a gradual increase over the 23-year period.</w:t>
      </w:r>
    </w:p>
    <w:p w14:paraId="3B3803EE" w14:textId="77777777" w:rsidR="00B25319" w:rsidRPr="00B25319" w:rsidRDefault="00B25319" w:rsidP="00B25319">
      <w:pPr>
        <w:numPr>
          <w:ilvl w:val="0"/>
          <w:numId w:val="1"/>
        </w:numPr>
        <w:rPr>
          <w:rFonts w:ascii="Times New Roman" w:hAnsi="Times New Roman" w:cs="Times New Roman"/>
        </w:rPr>
      </w:pPr>
      <w:r w:rsidRPr="00B25319">
        <w:rPr>
          <w:rFonts w:ascii="Times New Roman" w:hAnsi="Times New Roman" w:cs="Times New Roman"/>
        </w:rPr>
        <w:t>The overall trends suggest that while Africa's HIV epidemic has stabilized in recent years, South-East Asia may be experiencing a new phase of increased cases.</w:t>
      </w:r>
    </w:p>
    <w:p w14:paraId="29D15957" w14:textId="155F0809" w:rsidR="00B25319" w:rsidRDefault="00B25319">
      <w:pPr>
        <w:rPr>
          <w:rFonts w:ascii="Times New Roman" w:hAnsi="Times New Roman" w:cs="Times New Roman"/>
        </w:rPr>
      </w:pPr>
      <w:r>
        <w:rPr>
          <w:rFonts w:ascii="Times New Roman" w:hAnsi="Times New Roman" w:cs="Times New Roman"/>
        </w:rPr>
        <w:br w:type="page"/>
      </w:r>
    </w:p>
    <w:p w14:paraId="79C401EE" w14:textId="369DFAE6" w:rsidR="00B25319" w:rsidRDefault="00B25319">
      <w:pPr>
        <w:rPr>
          <w:rFonts w:ascii="Times New Roman" w:hAnsi="Times New Roman" w:cs="Times New Roman"/>
          <w:b/>
          <w:bCs/>
          <w:sz w:val="32"/>
          <w:szCs w:val="32"/>
        </w:rPr>
      </w:pPr>
      <w:r w:rsidRPr="00B25319">
        <w:rPr>
          <w:rFonts w:ascii="Times New Roman" w:hAnsi="Times New Roman" w:cs="Times New Roman"/>
          <w:b/>
          <w:bCs/>
          <w:sz w:val="32"/>
          <w:szCs w:val="32"/>
        </w:rPr>
        <w:lastRenderedPageBreak/>
        <w:t>Geographic Distribution of HIV Contribution (Map)</w:t>
      </w:r>
    </w:p>
    <w:p w14:paraId="12335B92" w14:textId="6B8A87F0" w:rsidR="00B25319" w:rsidRDefault="00B25319">
      <w:pPr>
        <w:rPr>
          <w:rFonts w:ascii="Times New Roman" w:hAnsi="Times New Roman" w:cs="Times New Roman"/>
          <w:b/>
          <w:bCs/>
        </w:rPr>
      </w:pPr>
      <w:r>
        <w:rPr>
          <w:rFonts w:ascii="Times New Roman" w:hAnsi="Times New Roman" w:cs="Times New Roman"/>
          <w:b/>
          <w:bCs/>
          <w:noProof/>
        </w:rPr>
        <w:drawing>
          <wp:inline distT="0" distB="0" distL="0" distR="0" wp14:anchorId="57F52C42" wp14:editId="7BF7C697">
            <wp:extent cx="5943600" cy="3371850"/>
            <wp:effectExtent l="0" t="0" r="0" b="0"/>
            <wp:docPr id="1167501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512CC101" w14:textId="77777777" w:rsidR="00B25319" w:rsidRPr="00B25319" w:rsidRDefault="00B25319" w:rsidP="00B25319">
      <w:pPr>
        <w:rPr>
          <w:rFonts w:ascii="Times New Roman" w:hAnsi="Times New Roman" w:cs="Times New Roman"/>
        </w:rPr>
      </w:pPr>
      <w:r w:rsidRPr="00B25319">
        <w:rPr>
          <w:rFonts w:ascii="Times New Roman" w:hAnsi="Times New Roman" w:cs="Times New Roman"/>
        </w:rPr>
        <w:t>The world map visualization reinforces the findings from the other charts:</w:t>
      </w:r>
    </w:p>
    <w:p w14:paraId="3CF51E2D" w14:textId="77777777" w:rsidR="00B25319" w:rsidRPr="00B25319" w:rsidRDefault="00B25319" w:rsidP="00B25319">
      <w:pPr>
        <w:numPr>
          <w:ilvl w:val="0"/>
          <w:numId w:val="2"/>
        </w:numPr>
        <w:rPr>
          <w:rFonts w:ascii="Times New Roman" w:hAnsi="Times New Roman" w:cs="Times New Roman"/>
        </w:rPr>
      </w:pPr>
      <w:r w:rsidRPr="00B25319">
        <w:rPr>
          <w:rFonts w:ascii="Times New Roman" w:hAnsi="Times New Roman" w:cs="Times New Roman"/>
        </w:rPr>
        <w:t>Africa is highlighted in darker blue, visually emphasizing its position as the region most severely affected by HIV.</w:t>
      </w:r>
    </w:p>
    <w:p w14:paraId="229383E2" w14:textId="77777777" w:rsidR="00B25319" w:rsidRPr="00B25319" w:rsidRDefault="00B25319" w:rsidP="00B25319">
      <w:pPr>
        <w:numPr>
          <w:ilvl w:val="0"/>
          <w:numId w:val="2"/>
        </w:numPr>
        <w:rPr>
          <w:rFonts w:ascii="Times New Roman" w:hAnsi="Times New Roman" w:cs="Times New Roman"/>
        </w:rPr>
      </w:pPr>
      <w:r w:rsidRPr="00B25319">
        <w:rPr>
          <w:rFonts w:ascii="Times New Roman" w:hAnsi="Times New Roman" w:cs="Times New Roman"/>
        </w:rPr>
        <w:t>Other continents appear in much lighter shades, reflecting their significantly smaller contributions to global HIV cases.</w:t>
      </w:r>
    </w:p>
    <w:p w14:paraId="10373F49" w14:textId="77777777" w:rsidR="00B25319" w:rsidRPr="00B25319" w:rsidRDefault="00B25319" w:rsidP="00B25319">
      <w:pPr>
        <w:numPr>
          <w:ilvl w:val="0"/>
          <w:numId w:val="2"/>
        </w:numPr>
        <w:rPr>
          <w:rFonts w:ascii="Times New Roman" w:hAnsi="Times New Roman" w:cs="Times New Roman"/>
        </w:rPr>
      </w:pPr>
      <w:r w:rsidRPr="00B25319">
        <w:rPr>
          <w:rFonts w:ascii="Times New Roman" w:hAnsi="Times New Roman" w:cs="Times New Roman"/>
        </w:rPr>
        <w:t>The map helps contextualize the geographic concentration of the HIV epidemic, showing how the disease burden is not equally distributed across the world but rather heavily concentrated in sub-Saharan Africa.</w:t>
      </w:r>
    </w:p>
    <w:p w14:paraId="32838041" w14:textId="77777777" w:rsidR="00B25319" w:rsidRPr="00B25319" w:rsidRDefault="00B25319" w:rsidP="00B25319">
      <w:pPr>
        <w:numPr>
          <w:ilvl w:val="0"/>
          <w:numId w:val="2"/>
        </w:numPr>
        <w:rPr>
          <w:rFonts w:ascii="Times New Roman" w:hAnsi="Times New Roman" w:cs="Times New Roman"/>
        </w:rPr>
      </w:pPr>
      <w:r w:rsidRPr="00B25319">
        <w:rPr>
          <w:rFonts w:ascii="Times New Roman" w:hAnsi="Times New Roman" w:cs="Times New Roman"/>
        </w:rPr>
        <w:t>This geographic visualization makes the disparity immediately apparent in a way that complements the more detailed statistical breakdowns in the other charts.</w:t>
      </w:r>
    </w:p>
    <w:p w14:paraId="4A88A1D9" w14:textId="5CF93481" w:rsidR="00B25319" w:rsidRDefault="00B25319">
      <w:pPr>
        <w:rPr>
          <w:rFonts w:ascii="Times New Roman" w:hAnsi="Times New Roman" w:cs="Times New Roman"/>
          <w:b/>
          <w:bCs/>
        </w:rPr>
      </w:pPr>
      <w:r>
        <w:rPr>
          <w:rFonts w:ascii="Times New Roman" w:hAnsi="Times New Roman" w:cs="Times New Roman"/>
          <w:b/>
          <w:bCs/>
        </w:rPr>
        <w:br w:type="page"/>
      </w:r>
    </w:p>
    <w:p w14:paraId="5F60183F" w14:textId="6BB35FF6" w:rsidR="00B25319" w:rsidRDefault="00B25319">
      <w:pPr>
        <w:rPr>
          <w:rFonts w:ascii="Times New Roman" w:hAnsi="Times New Roman" w:cs="Times New Roman"/>
          <w:b/>
          <w:bCs/>
          <w:sz w:val="32"/>
          <w:szCs w:val="32"/>
        </w:rPr>
      </w:pPr>
      <w:r w:rsidRPr="00B25319">
        <w:rPr>
          <w:rFonts w:ascii="Times New Roman" w:hAnsi="Times New Roman" w:cs="Times New Roman"/>
          <w:b/>
          <w:bCs/>
          <w:sz w:val="32"/>
          <w:szCs w:val="32"/>
        </w:rPr>
        <w:lastRenderedPageBreak/>
        <w:t>Country Contribution by Region (Pie Chart)</w:t>
      </w:r>
    </w:p>
    <w:p w14:paraId="43385332" w14:textId="5692C729" w:rsidR="00B25319" w:rsidRDefault="00B25319">
      <w:pPr>
        <w:rPr>
          <w:rFonts w:ascii="Times New Roman" w:hAnsi="Times New Roman" w:cs="Times New Roman"/>
        </w:rPr>
      </w:pPr>
      <w:r>
        <w:rPr>
          <w:rFonts w:ascii="Times New Roman" w:hAnsi="Times New Roman" w:cs="Times New Roman"/>
          <w:noProof/>
        </w:rPr>
        <w:drawing>
          <wp:inline distT="0" distB="0" distL="0" distR="0" wp14:anchorId="55C577AC" wp14:editId="1B0CD6A2">
            <wp:extent cx="5943600" cy="3762375"/>
            <wp:effectExtent l="0" t="0" r="0" b="9525"/>
            <wp:docPr id="2053014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5F78405B" w14:textId="77777777" w:rsidR="00B25319" w:rsidRPr="00B25319" w:rsidRDefault="00B25319" w:rsidP="00B25319">
      <w:pPr>
        <w:rPr>
          <w:rFonts w:ascii="Times New Roman" w:hAnsi="Times New Roman" w:cs="Times New Roman"/>
        </w:rPr>
      </w:pPr>
      <w:r w:rsidRPr="00B25319">
        <w:rPr>
          <w:rFonts w:ascii="Times New Roman" w:hAnsi="Times New Roman" w:cs="Times New Roman"/>
        </w:rPr>
        <w:t>This pie chart provides a clear breakdown of the global HIV burden by region:</w:t>
      </w:r>
    </w:p>
    <w:p w14:paraId="2349C4D8" w14:textId="77777777" w:rsidR="00B25319" w:rsidRPr="00B25319" w:rsidRDefault="00B25319" w:rsidP="00B25319">
      <w:pPr>
        <w:numPr>
          <w:ilvl w:val="0"/>
          <w:numId w:val="3"/>
        </w:numPr>
        <w:rPr>
          <w:rFonts w:ascii="Times New Roman" w:hAnsi="Times New Roman" w:cs="Times New Roman"/>
        </w:rPr>
      </w:pPr>
      <w:r w:rsidRPr="00B25319">
        <w:rPr>
          <w:rFonts w:ascii="Times New Roman" w:hAnsi="Times New Roman" w:cs="Times New Roman"/>
          <w:b/>
          <w:bCs/>
        </w:rPr>
        <w:t>Africa bears an overwhelming 82.91% of the global HIV burden</w:t>
      </w:r>
      <w:r w:rsidRPr="00B25319">
        <w:rPr>
          <w:rFonts w:ascii="Times New Roman" w:hAnsi="Times New Roman" w:cs="Times New Roman"/>
        </w:rPr>
        <w:t>, represented by the dominant blue section that occupies most of the pie chart.</w:t>
      </w:r>
    </w:p>
    <w:p w14:paraId="60114784" w14:textId="77777777" w:rsidR="00B25319" w:rsidRPr="00B25319" w:rsidRDefault="00B25319" w:rsidP="00B25319">
      <w:pPr>
        <w:numPr>
          <w:ilvl w:val="0"/>
          <w:numId w:val="3"/>
        </w:numPr>
        <w:rPr>
          <w:rFonts w:ascii="Times New Roman" w:hAnsi="Times New Roman" w:cs="Times New Roman"/>
        </w:rPr>
      </w:pPr>
      <w:r w:rsidRPr="00B25319">
        <w:rPr>
          <w:rFonts w:ascii="Times New Roman" w:hAnsi="Times New Roman" w:cs="Times New Roman"/>
          <w:b/>
          <w:bCs/>
        </w:rPr>
        <w:t>The Americas</w:t>
      </w:r>
      <w:r w:rsidRPr="00B25319">
        <w:rPr>
          <w:rFonts w:ascii="Times New Roman" w:hAnsi="Times New Roman" w:cs="Times New Roman"/>
        </w:rPr>
        <w:t xml:space="preserve"> account for the second largest share at 7.02%, a distant second to Africa.</w:t>
      </w:r>
    </w:p>
    <w:p w14:paraId="11F183E0" w14:textId="77777777" w:rsidR="00B25319" w:rsidRPr="00B25319" w:rsidRDefault="00B25319" w:rsidP="00B25319">
      <w:pPr>
        <w:numPr>
          <w:ilvl w:val="0"/>
          <w:numId w:val="3"/>
        </w:numPr>
        <w:rPr>
          <w:rFonts w:ascii="Times New Roman" w:hAnsi="Times New Roman" w:cs="Times New Roman"/>
        </w:rPr>
      </w:pPr>
      <w:r w:rsidRPr="00B25319">
        <w:rPr>
          <w:rFonts w:ascii="Times New Roman" w:hAnsi="Times New Roman" w:cs="Times New Roman"/>
          <w:b/>
          <w:bCs/>
        </w:rPr>
        <w:t>South-East Asia</w:t>
      </w:r>
      <w:r w:rsidRPr="00B25319">
        <w:rPr>
          <w:rFonts w:ascii="Times New Roman" w:hAnsi="Times New Roman" w:cs="Times New Roman"/>
        </w:rPr>
        <w:t xml:space="preserve"> contributes 5.23% of global HIV cases.</w:t>
      </w:r>
    </w:p>
    <w:p w14:paraId="795CD195" w14:textId="77777777" w:rsidR="00B25319" w:rsidRPr="00B25319" w:rsidRDefault="00B25319" w:rsidP="00B25319">
      <w:pPr>
        <w:numPr>
          <w:ilvl w:val="0"/>
          <w:numId w:val="3"/>
        </w:numPr>
        <w:rPr>
          <w:rFonts w:ascii="Times New Roman" w:hAnsi="Times New Roman" w:cs="Times New Roman"/>
        </w:rPr>
      </w:pPr>
      <w:r w:rsidRPr="00B25319">
        <w:rPr>
          <w:rFonts w:ascii="Times New Roman" w:hAnsi="Times New Roman" w:cs="Times New Roman"/>
          <w:b/>
          <w:bCs/>
        </w:rPr>
        <w:t>Europe, Western Pacific, and Eastern Mediterranean</w:t>
      </w:r>
      <w:r w:rsidRPr="00B25319">
        <w:rPr>
          <w:rFonts w:ascii="Times New Roman" w:hAnsi="Times New Roman" w:cs="Times New Roman"/>
        </w:rPr>
        <w:t xml:space="preserve"> regions collectively account for less than 5% of global HIV cases, with Europe at 1.96% and Eastern Mediterranean showing the smallest contribution.</w:t>
      </w:r>
    </w:p>
    <w:p w14:paraId="78E13D95" w14:textId="77777777" w:rsidR="00B25319" w:rsidRPr="00B25319" w:rsidRDefault="00B25319" w:rsidP="00B25319">
      <w:pPr>
        <w:numPr>
          <w:ilvl w:val="0"/>
          <w:numId w:val="3"/>
        </w:numPr>
        <w:rPr>
          <w:rFonts w:ascii="Times New Roman" w:hAnsi="Times New Roman" w:cs="Times New Roman"/>
        </w:rPr>
      </w:pPr>
      <w:r w:rsidRPr="00B25319">
        <w:rPr>
          <w:rFonts w:ascii="Times New Roman" w:hAnsi="Times New Roman" w:cs="Times New Roman"/>
        </w:rPr>
        <w:t>This visualization starkly illustrates the disproportionate impact of HIV on the African continent compared to all other world regions combined.</w:t>
      </w:r>
    </w:p>
    <w:p w14:paraId="163F312E" w14:textId="51B95090" w:rsidR="00B25319" w:rsidRDefault="00B25319">
      <w:pPr>
        <w:rPr>
          <w:rFonts w:ascii="Times New Roman" w:hAnsi="Times New Roman" w:cs="Times New Roman"/>
        </w:rPr>
      </w:pPr>
      <w:r>
        <w:rPr>
          <w:rFonts w:ascii="Times New Roman" w:hAnsi="Times New Roman" w:cs="Times New Roman"/>
        </w:rPr>
        <w:br w:type="page"/>
      </w:r>
    </w:p>
    <w:p w14:paraId="4D548F62" w14:textId="1EEA12CF" w:rsidR="00B25319" w:rsidRDefault="00B25319">
      <w:pPr>
        <w:rPr>
          <w:rFonts w:ascii="Times New Roman" w:hAnsi="Times New Roman" w:cs="Times New Roman"/>
          <w:b/>
          <w:bCs/>
          <w:sz w:val="32"/>
          <w:szCs w:val="32"/>
        </w:rPr>
      </w:pPr>
      <w:r w:rsidRPr="00B25319">
        <w:rPr>
          <w:rFonts w:ascii="Times New Roman" w:hAnsi="Times New Roman" w:cs="Times New Roman"/>
          <w:b/>
          <w:bCs/>
          <w:sz w:val="32"/>
          <w:szCs w:val="32"/>
        </w:rPr>
        <w:lastRenderedPageBreak/>
        <w:t>HIV Cases by Multidimensional Poverty Headcount Ratio and Region</w:t>
      </w:r>
    </w:p>
    <w:p w14:paraId="314CCF62" w14:textId="7A12E308" w:rsidR="00B25319" w:rsidRDefault="00B25319">
      <w:pPr>
        <w:rPr>
          <w:rFonts w:ascii="Times New Roman" w:hAnsi="Times New Roman" w:cs="Times New Roman"/>
        </w:rPr>
      </w:pPr>
      <w:r>
        <w:rPr>
          <w:rFonts w:ascii="Times New Roman" w:hAnsi="Times New Roman" w:cs="Times New Roman"/>
          <w:noProof/>
        </w:rPr>
        <w:drawing>
          <wp:inline distT="0" distB="0" distL="0" distR="0" wp14:anchorId="5990E600" wp14:editId="3C0DD78C">
            <wp:extent cx="5934075" cy="3362325"/>
            <wp:effectExtent l="0" t="0" r="9525" b="9525"/>
            <wp:docPr id="1847089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16F323E0" w14:textId="7B8C6803" w:rsidR="00B25319" w:rsidRPr="00B25319" w:rsidRDefault="00B25319" w:rsidP="00B25319">
      <w:pPr>
        <w:rPr>
          <w:rFonts w:ascii="Times New Roman" w:hAnsi="Times New Roman" w:cs="Times New Roman"/>
        </w:rPr>
      </w:pPr>
      <w:r w:rsidRPr="00B25319">
        <w:rPr>
          <w:rFonts w:ascii="Times New Roman" w:hAnsi="Times New Roman" w:cs="Times New Roman"/>
        </w:rPr>
        <w:t xml:space="preserve">The </w:t>
      </w:r>
      <w:r>
        <w:rPr>
          <w:rFonts w:ascii="Times New Roman" w:hAnsi="Times New Roman" w:cs="Times New Roman"/>
        </w:rPr>
        <w:t>image</w:t>
      </w:r>
      <w:r w:rsidRPr="00B25319">
        <w:rPr>
          <w:rFonts w:ascii="Times New Roman" w:hAnsi="Times New Roman" w:cs="Times New Roman"/>
        </w:rPr>
        <w:t xml:space="preserve"> show</w:t>
      </w:r>
      <w:r>
        <w:rPr>
          <w:rFonts w:ascii="Times New Roman" w:hAnsi="Times New Roman" w:cs="Times New Roman"/>
        </w:rPr>
        <w:t>s a</w:t>
      </w:r>
      <w:r w:rsidRPr="00B25319">
        <w:rPr>
          <w:rFonts w:ascii="Times New Roman" w:hAnsi="Times New Roman" w:cs="Times New Roman"/>
        </w:rPr>
        <w:t xml:space="preserve"> bar chart depicting the sum of HIV cases across different regions, organized by multidimensional poverty headcount ratio percentages. These visualizations reveal:</w:t>
      </w:r>
    </w:p>
    <w:p w14:paraId="08B416AE" w14:textId="77777777" w:rsidR="00B25319" w:rsidRPr="00B25319" w:rsidRDefault="00B25319" w:rsidP="00B25319">
      <w:pPr>
        <w:numPr>
          <w:ilvl w:val="0"/>
          <w:numId w:val="4"/>
        </w:numPr>
        <w:rPr>
          <w:rFonts w:ascii="Times New Roman" w:hAnsi="Times New Roman" w:cs="Times New Roman"/>
        </w:rPr>
      </w:pPr>
      <w:r w:rsidRPr="00B25319">
        <w:rPr>
          <w:rFonts w:ascii="Times New Roman" w:hAnsi="Times New Roman" w:cs="Times New Roman"/>
          <w:b/>
          <w:bCs/>
        </w:rPr>
        <w:t>Africa dominates HIV case numbers</w:t>
      </w:r>
      <w:r w:rsidRPr="00B25319">
        <w:rPr>
          <w:rFonts w:ascii="Times New Roman" w:hAnsi="Times New Roman" w:cs="Times New Roman"/>
        </w:rPr>
        <w:t xml:space="preserve"> across nearly all poverty headcount ratio categories, with the highest bars consistently shown in blue. The regions with the highest HIV case counts (approaching 10M cases) are associated with poverty headcount ratios ranging from approximately 39-78%.</w:t>
      </w:r>
    </w:p>
    <w:p w14:paraId="7FD6BD91" w14:textId="77777777" w:rsidR="00B25319" w:rsidRPr="00B25319" w:rsidRDefault="00B25319" w:rsidP="00B25319">
      <w:pPr>
        <w:numPr>
          <w:ilvl w:val="0"/>
          <w:numId w:val="4"/>
        </w:numPr>
        <w:rPr>
          <w:rFonts w:ascii="Times New Roman" w:hAnsi="Times New Roman" w:cs="Times New Roman"/>
        </w:rPr>
      </w:pPr>
      <w:r w:rsidRPr="00B25319">
        <w:rPr>
          <w:rFonts w:ascii="Times New Roman" w:hAnsi="Times New Roman" w:cs="Times New Roman"/>
          <w:b/>
          <w:bCs/>
        </w:rPr>
        <w:t>South-East Asia</w:t>
      </w:r>
      <w:r w:rsidRPr="00B25319">
        <w:rPr>
          <w:rFonts w:ascii="Times New Roman" w:hAnsi="Times New Roman" w:cs="Times New Roman"/>
        </w:rPr>
        <w:t xml:space="preserve"> (shown in pink) has a significant number of cases concentrated around the 0.11% poverty headcount ratio, suggesting a different pattern than Africa where cases correlate more strongly with higher poverty ratios.</w:t>
      </w:r>
    </w:p>
    <w:p w14:paraId="6C3351E5" w14:textId="77777777" w:rsidR="00B25319" w:rsidRPr="00B25319" w:rsidRDefault="00B25319" w:rsidP="00B25319">
      <w:pPr>
        <w:numPr>
          <w:ilvl w:val="0"/>
          <w:numId w:val="4"/>
        </w:numPr>
        <w:rPr>
          <w:rFonts w:ascii="Times New Roman" w:hAnsi="Times New Roman" w:cs="Times New Roman"/>
        </w:rPr>
      </w:pPr>
      <w:r w:rsidRPr="00B25319">
        <w:rPr>
          <w:rFonts w:ascii="Times New Roman" w:hAnsi="Times New Roman" w:cs="Times New Roman"/>
          <w:b/>
          <w:bCs/>
        </w:rPr>
        <w:t>Other regions</w:t>
      </w:r>
      <w:r w:rsidRPr="00B25319">
        <w:rPr>
          <w:rFonts w:ascii="Times New Roman" w:hAnsi="Times New Roman" w:cs="Times New Roman"/>
        </w:rPr>
        <w:t xml:space="preserve"> including the Americas (dark blue), Europe (purple), Western Pacific (light purple), and Eastern Mediterranean (orange) show considerably lower HIV case numbers compared to Africa, regardless of poverty headcount ratio.</w:t>
      </w:r>
    </w:p>
    <w:p w14:paraId="32BAFFF9" w14:textId="415EB75F" w:rsidR="00B25319" w:rsidRPr="00B25319" w:rsidRDefault="00B25319" w:rsidP="00B25319">
      <w:pPr>
        <w:numPr>
          <w:ilvl w:val="0"/>
          <w:numId w:val="4"/>
        </w:numPr>
        <w:rPr>
          <w:rFonts w:ascii="Times New Roman" w:hAnsi="Times New Roman" w:cs="Times New Roman"/>
        </w:rPr>
      </w:pPr>
      <w:r w:rsidRPr="00B25319">
        <w:rPr>
          <w:rFonts w:ascii="Times New Roman" w:hAnsi="Times New Roman" w:cs="Times New Roman"/>
        </w:rPr>
        <w:t>The visualization suggests a strong correlation between multidimensional poverty and HIV prevalence, particularly in Africa, where the highest case counts align with higher poverty ratios.</w:t>
      </w:r>
    </w:p>
    <w:sectPr w:rsidR="00B25319" w:rsidRPr="00B2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114DC"/>
    <w:multiLevelType w:val="multilevel"/>
    <w:tmpl w:val="CB62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C3B26"/>
    <w:multiLevelType w:val="multilevel"/>
    <w:tmpl w:val="A346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573F0"/>
    <w:multiLevelType w:val="multilevel"/>
    <w:tmpl w:val="FF9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11AB9"/>
    <w:multiLevelType w:val="multilevel"/>
    <w:tmpl w:val="CBDC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020534">
    <w:abstractNumId w:val="2"/>
  </w:num>
  <w:num w:numId="2" w16cid:durableId="899022880">
    <w:abstractNumId w:val="0"/>
  </w:num>
  <w:num w:numId="3" w16cid:durableId="1095705940">
    <w:abstractNumId w:val="3"/>
  </w:num>
  <w:num w:numId="4" w16cid:durableId="557935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19"/>
    <w:rsid w:val="00190047"/>
    <w:rsid w:val="00332CBE"/>
    <w:rsid w:val="00461E4B"/>
    <w:rsid w:val="00491C4B"/>
    <w:rsid w:val="00676568"/>
    <w:rsid w:val="009C0C01"/>
    <w:rsid w:val="00B25319"/>
    <w:rsid w:val="00C3583B"/>
    <w:rsid w:val="00EF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FDEC"/>
  <w15:chartTrackingRefBased/>
  <w15:docId w15:val="{F11C0EB8-C351-4AB5-A366-4647DC86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3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3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3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3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3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3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3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3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3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3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319"/>
    <w:rPr>
      <w:rFonts w:eastAsiaTheme="majorEastAsia" w:cstheme="majorBidi"/>
      <w:color w:val="272727" w:themeColor="text1" w:themeTint="D8"/>
    </w:rPr>
  </w:style>
  <w:style w:type="paragraph" w:styleId="Title">
    <w:name w:val="Title"/>
    <w:basedOn w:val="Normal"/>
    <w:next w:val="Normal"/>
    <w:link w:val="TitleChar"/>
    <w:uiPriority w:val="10"/>
    <w:qFormat/>
    <w:rsid w:val="00B25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319"/>
    <w:pPr>
      <w:spacing w:before="160"/>
      <w:jc w:val="center"/>
    </w:pPr>
    <w:rPr>
      <w:i/>
      <w:iCs/>
      <w:color w:val="404040" w:themeColor="text1" w:themeTint="BF"/>
    </w:rPr>
  </w:style>
  <w:style w:type="character" w:customStyle="1" w:styleId="QuoteChar">
    <w:name w:val="Quote Char"/>
    <w:basedOn w:val="DefaultParagraphFont"/>
    <w:link w:val="Quote"/>
    <w:uiPriority w:val="29"/>
    <w:rsid w:val="00B25319"/>
    <w:rPr>
      <w:i/>
      <w:iCs/>
      <w:color w:val="404040" w:themeColor="text1" w:themeTint="BF"/>
    </w:rPr>
  </w:style>
  <w:style w:type="paragraph" w:styleId="ListParagraph">
    <w:name w:val="List Paragraph"/>
    <w:basedOn w:val="Normal"/>
    <w:uiPriority w:val="34"/>
    <w:qFormat/>
    <w:rsid w:val="00B25319"/>
    <w:pPr>
      <w:ind w:left="720"/>
      <w:contextualSpacing/>
    </w:pPr>
  </w:style>
  <w:style w:type="character" w:styleId="IntenseEmphasis">
    <w:name w:val="Intense Emphasis"/>
    <w:basedOn w:val="DefaultParagraphFont"/>
    <w:uiPriority w:val="21"/>
    <w:qFormat/>
    <w:rsid w:val="00B25319"/>
    <w:rPr>
      <w:i/>
      <w:iCs/>
      <w:color w:val="2F5496" w:themeColor="accent1" w:themeShade="BF"/>
    </w:rPr>
  </w:style>
  <w:style w:type="paragraph" w:styleId="IntenseQuote">
    <w:name w:val="Intense Quote"/>
    <w:basedOn w:val="Normal"/>
    <w:next w:val="Normal"/>
    <w:link w:val="IntenseQuoteChar"/>
    <w:uiPriority w:val="30"/>
    <w:qFormat/>
    <w:rsid w:val="00B253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319"/>
    <w:rPr>
      <w:i/>
      <w:iCs/>
      <w:color w:val="2F5496" w:themeColor="accent1" w:themeShade="BF"/>
    </w:rPr>
  </w:style>
  <w:style w:type="character" w:styleId="IntenseReference">
    <w:name w:val="Intense Reference"/>
    <w:basedOn w:val="DefaultParagraphFont"/>
    <w:uiPriority w:val="32"/>
    <w:qFormat/>
    <w:rsid w:val="00B253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99600">
      <w:bodyDiv w:val="1"/>
      <w:marLeft w:val="0"/>
      <w:marRight w:val="0"/>
      <w:marTop w:val="0"/>
      <w:marBottom w:val="0"/>
      <w:divBdr>
        <w:top w:val="none" w:sz="0" w:space="0" w:color="auto"/>
        <w:left w:val="none" w:sz="0" w:space="0" w:color="auto"/>
        <w:bottom w:val="none" w:sz="0" w:space="0" w:color="auto"/>
        <w:right w:val="none" w:sz="0" w:space="0" w:color="auto"/>
      </w:divBdr>
    </w:div>
    <w:div w:id="481968883">
      <w:bodyDiv w:val="1"/>
      <w:marLeft w:val="0"/>
      <w:marRight w:val="0"/>
      <w:marTop w:val="0"/>
      <w:marBottom w:val="0"/>
      <w:divBdr>
        <w:top w:val="none" w:sz="0" w:space="0" w:color="auto"/>
        <w:left w:val="none" w:sz="0" w:space="0" w:color="auto"/>
        <w:bottom w:val="none" w:sz="0" w:space="0" w:color="auto"/>
        <w:right w:val="none" w:sz="0" w:space="0" w:color="auto"/>
      </w:divBdr>
    </w:div>
    <w:div w:id="492378854">
      <w:bodyDiv w:val="1"/>
      <w:marLeft w:val="0"/>
      <w:marRight w:val="0"/>
      <w:marTop w:val="0"/>
      <w:marBottom w:val="0"/>
      <w:divBdr>
        <w:top w:val="none" w:sz="0" w:space="0" w:color="auto"/>
        <w:left w:val="none" w:sz="0" w:space="0" w:color="auto"/>
        <w:bottom w:val="none" w:sz="0" w:space="0" w:color="auto"/>
        <w:right w:val="none" w:sz="0" w:space="0" w:color="auto"/>
      </w:divBdr>
    </w:div>
    <w:div w:id="815683805">
      <w:bodyDiv w:val="1"/>
      <w:marLeft w:val="0"/>
      <w:marRight w:val="0"/>
      <w:marTop w:val="0"/>
      <w:marBottom w:val="0"/>
      <w:divBdr>
        <w:top w:val="none" w:sz="0" w:space="0" w:color="auto"/>
        <w:left w:val="none" w:sz="0" w:space="0" w:color="auto"/>
        <w:bottom w:val="none" w:sz="0" w:space="0" w:color="auto"/>
        <w:right w:val="none" w:sz="0" w:space="0" w:color="auto"/>
      </w:divBdr>
    </w:div>
    <w:div w:id="1076973737">
      <w:bodyDiv w:val="1"/>
      <w:marLeft w:val="0"/>
      <w:marRight w:val="0"/>
      <w:marTop w:val="0"/>
      <w:marBottom w:val="0"/>
      <w:divBdr>
        <w:top w:val="none" w:sz="0" w:space="0" w:color="auto"/>
        <w:left w:val="none" w:sz="0" w:space="0" w:color="auto"/>
        <w:bottom w:val="none" w:sz="0" w:space="0" w:color="auto"/>
        <w:right w:val="none" w:sz="0" w:space="0" w:color="auto"/>
      </w:divBdr>
    </w:div>
    <w:div w:id="1396734070">
      <w:bodyDiv w:val="1"/>
      <w:marLeft w:val="0"/>
      <w:marRight w:val="0"/>
      <w:marTop w:val="0"/>
      <w:marBottom w:val="0"/>
      <w:divBdr>
        <w:top w:val="none" w:sz="0" w:space="0" w:color="auto"/>
        <w:left w:val="none" w:sz="0" w:space="0" w:color="auto"/>
        <w:bottom w:val="none" w:sz="0" w:space="0" w:color="auto"/>
        <w:right w:val="none" w:sz="0" w:space="0" w:color="auto"/>
      </w:divBdr>
    </w:div>
    <w:div w:id="2052529759">
      <w:bodyDiv w:val="1"/>
      <w:marLeft w:val="0"/>
      <w:marRight w:val="0"/>
      <w:marTop w:val="0"/>
      <w:marBottom w:val="0"/>
      <w:divBdr>
        <w:top w:val="none" w:sz="0" w:space="0" w:color="auto"/>
        <w:left w:val="none" w:sz="0" w:space="0" w:color="auto"/>
        <w:bottom w:val="none" w:sz="0" w:space="0" w:color="auto"/>
        <w:right w:val="none" w:sz="0" w:space="0" w:color="auto"/>
      </w:divBdr>
    </w:div>
    <w:div w:id="208595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odious brawler</dc:creator>
  <cp:keywords/>
  <dc:description/>
  <cp:lastModifiedBy>odious brawler</cp:lastModifiedBy>
  <cp:revision>3</cp:revision>
  <dcterms:created xsi:type="dcterms:W3CDTF">2025-04-25T09:26:00Z</dcterms:created>
  <dcterms:modified xsi:type="dcterms:W3CDTF">2025-04-26T13:31:00Z</dcterms:modified>
</cp:coreProperties>
</file>