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pStyle w:val="Title"/>
        <w:jc w:val="left"/>
      </w:pPr>
      <w:r>
        <w:t>MERRILL GIRLS WRESTLING</w:t>
      </w:r>
    </w:p>
    <w:p>
      <w:pPr>
        <w:pStyle w:val="Heading1"/>
        <w:spacing w:before="0" w:after="100"/>
      </w:pPr>
      <w:r>
        <w:t>Athlete Development Platform</w:t>
      </w:r>
    </w:p>
    <w:p>
      <w:r>
        <w:rPr>
          <w:b/>
          <w:color w:val="1F5A94"/>
          <w:sz w:val="34"/>
        </w:rPr>
        <w:t>Product Planning Compendium</w:t>
      </w:r>
    </w:p>
    <w:p>
      <w:r>
        <w:t>Program purpose, athlete-development model, coaching language, mental-performance curriculum, goals, safety boundaries, and product scope.</w:t>
      </w:r>
    </w:p>
    <w:p>
      <w:pPr>
        <w:pStyle w:val="SmallNote"/>
      </w:pPr>
      <w:r>
        <w:t>Document 01 of 3  |  Version 1.1  |  September 1, 2026</w:t>
      </w:r>
    </w:p>
    <w:p>
      <w:pPr>
        <w:spacing w:after="480"/>
      </w:pPr>
    </w:p>
    <w:tbl>
      <w:tblPr>
        <w:tblW w:type="auto" w:w="0"/>
        <w:jc w:val="center"/>
        <w:tblLayout w:type="fixed"/>
        <w:tblLook w:firstColumn="1" w:firstRow="1" w:lastColumn="0" w:lastRow="0" w:noHBand="0" w:noVBand="1" w:val="04A0"/>
      </w:tblPr>
      <w:tblGrid>
        <w:gridCol w:w="10166"/>
      </w:tblGrid>
      <w:tr>
        <w:tc>
          <w:tcPr>
            <w:tcW w:type="dxa" w:w="10166"/>
            <w:shd w:fill="EAF2F8"/>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DOCUMENT ROLE</w:t>
            </w:r>
          </w:p>
          <w:p>
            <w:pPr>
              <w:spacing w:after="0"/>
            </w:pPr>
            <w:r>
              <w:t>This is the WHY + WHAT source of truth. It defines the athlete-development system we are building. Backend implementation belongs to Document 02. Screen-level UX and visual behavior belong to Document 03.</w:t>
            </w:r>
          </w:p>
        </w:tc>
      </w:tr>
    </w:tbl>
    <w:p>
      <w:pPr>
        <w:spacing w:after="20"/>
      </w:pPr>
    </w:p>
    <w:p>
      <w:r>
        <w:br w:type="page"/>
      </w:r>
    </w:p>
    <w:p>
      <w:pPr>
        <w:pStyle w:val="Heading1"/>
      </w:pPr>
      <w:r>
        <w:t>Three-Document Source-of-Truth Model</w:t>
      </w:r>
    </w:p>
    <w:tbl>
      <w:tblPr>
        <w:tblW w:type="auto" w:w="0"/>
        <w:jc w:val="center"/>
        <w:tblLayout w:type="fixed"/>
        <w:tblLook w:firstColumn="1" w:firstRow="1" w:lastColumn="0" w:lastRow="0" w:noHBand="0" w:noVBand="1" w:val="04A0"/>
      </w:tblPr>
      <w:tblGrid>
        <w:gridCol w:w="3389"/>
        <w:gridCol w:w="3389"/>
        <w:gridCol w:w="3389"/>
      </w:tblGrid>
      <w:tr>
        <w:tc>
          <w:tcPr>
            <w:tcW w:type="dxa" w:w="237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Document</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Owns</w:t>
            </w:r>
          </w:p>
        </w:tc>
        <w:tc>
          <w:tcPr>
            <w:tcW w:type="dxa" w:w="3816"/>
            <w:shd w:fill="0B2748"/>
            <w:tcBorders>
              <w:top w:val="single" w:sz="2" w:color="0B2748"/>
              <w:left w:val="single" w:sz="2" w:color="0B2748"/>
              <w:bottom w:val="single" w:sz="2" w:color="0B2748"/>
              <w:right w:val="single" w:sz="2" w:color="0B2748"/>
            </w:tcBorders>
            <w:tcMar>
              <w:top w:w="95" w:type="dxa"/>
              <w:start w:w="110" w:type="dxa"/>
              <w:bottom w:w="95" w:type="dxa"/>
              <w:end w:w="110" w:type="dxa"/>
            </w:tcMar>
            <w:vAlign w:val="center"/>
          </w:tcPr>
          <w:p>
            <w:r>
              <w:rPr>
                <w:rFonts w:ascii="Carlito" w:hAnsi="Carlito"/>
                <w:b/>
                <w:color w:val="FFFFFF"/>
                <w:sz w:val="17"/>
              </w:rPr>
              <w:t>Does not own</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01 Product Planning Compendium</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Purpose, athlete-development model, coaching language, curriculum, goals, safety boundaries, MVP intent.</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Firestore implementation details or pixel-level UI behavior.</w:t>
            </w:r>
          </w:p>
        </w:tc>
      </w:tr>
      <w:tr>
        <w:tc>
          <w:tcPr>
            <w:tcW w:type="dxa" w:w="237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02 Backend Engineering Specification</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Identity, data model, security, Firebase behavior, offline/sync, data lifecycle, backend testing and deployment.</w:t>
            </w:r>
          </w:p>
        </w:tc>
        <w:tc>
          <w:tcPr>
            <w:tcW w:type="dxa" w:w="3816"/>
            <w:shd w:fill="F5F8FB"/>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Visual design, layout, navigation aesthetics, or curriculum philosophy.</w:t>
            </w:r>
          </w:p>
        </w:tc>
      </w:tr>
      <w:tr>
        <w:tc>
          <w:tcPr>
            <w:tcW w:type="dxa" w:w="237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03 Frontend Product &amp; UX Specification</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Information architecture, screen behavior, interaction patterns, visual system, branding, responsive/mobile UX, accessibility.</w:t>
            </w:r>
          </w:p>
        </w:tc>
        <w:tc>
          <w:tcPr>
            <w:tcW w:type="dxa" w:w="3816"/>
            <w:shd w:fill="FFFFFF"/>
            <w:tcBorders>
              <w:top w:val="single" w:sz="2" w:color="CBD5DF"/>
              <w:left w:val="single" w:sz="2" w:color="CBD5DF"/>
              <w:bottom w:val="single" w:sz="2" w:color="CBD5DF"/>
              <w:right w:val="single" w:sz="2" w:color="CBD5DF"/>
            </w:tcBorders>
            <w:tcMar>
              <w:top w:w="95" w:type="dxa"/>
              <w:start w:w="110" w:type="dxa"/>
              <w:bottom w:w="95" w:type="dxa"/>
              <w:end w:w="110" w:type="dxa"/>
            </w:tcMar>
            <w:vAlign w:val="center"/>
          </w:tcPr>
          <w:p>
            <w:pPr>
              <w:spacing w:after="0"/>
            </w:pPr>
            <w:r>
              <w:rPr>
                <w:rFonts w:ascii="Carlito" w:hAnsi="Carlito"/>
                <w:color w:val="1C2733"/>
                <w:sz w:val="17"/>
              </w:rPr>
              <w:t>Changing backend authorization/data contracts or redefining program goals.</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EEF4FA"/>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0B2748"/>
                <w:sz w:val="21"/>
              </w:rPr>
              <w:t>PRECEDENCE RULE</w:t>
            </w:r>
          </w:p>
          <w:p>
            <w:pPr>
              <w:spacing w:after="0"/>
            </w:pPr>
            <w:r>
              <w:t>This document is the authority for product purpose, program language, curriculum, goals, and product scope. If another document appears to conflict, the AI builder must preserve this document's domain, flag the conflict in its completion report, and must not silently invent a compromise.</w:t>
            </w:r>
          </w:p>
        </w:tc>
      </w:tr>
    </w:tbl>
    <w:p>
      <w:pPr>
        <w:spacing w:after="20"/>
      </w:pPr>
    </w:p>
    <w:tbl>
      <w:tblPr>
        <w:tblW w:type="auto" w:w="0"/>
        <w:jc w:val="center"/>
        <w:tblLayout w:type="fixed"/>
        <w:tblLook w:firstColumn="1" w:firstRow="1" w:lastColumn="0" w:lastRow="0" w:noHBand="0" w:noVBand="1" w:val="04A0"/>
      </w:tblPr>
      <w:tblGrid>
        <w:gridCol w:w="10166"/>
      </w:tblGrid>
      <w:tr>
        <w:tc>
          <w:tcPr>
            <w:tcW w:type="dxa" w:w="10166"/>
            <w:shd w:fill="F7F4EC"/>
            <w:tcBorders>
              <w:top w:val="single" w:sz="2" w:color="CBD5DF"/>
              <w:left w:val="single" w:sz="2" w:color="CBD5DF"/>
              <w:bottom w:val="single" w:sz="2" w:color="CBD5DF"/>
              <w:right w:val="single" w:sz="2" w:color="CBD5DF"/>
            </w:tcBorders>
            <w:tcMar>
              <w:top w:w="120" w:type="dxa"/>
              <w:start w:w="150" w:type="dxa"/>
              <w:bottom w:w="120" w:type="dxa"/>
              <w:end w:w="150" w:type="dxa"/>
            </w:tcMar>
          </w:tcPr>
          <w:p>
            <w:r>
              <w:rPr>
                <w:b/>
                <w:color w:val="B4862B"/>
                <w:sz w:val="21"/>
              </w:rPr>
              <w:t>AI BUILD RULE</w:t>
            </w:r>
          </w:p>
          <w:p>
            <w:pPr>
              <w:spacing w:after="0"/>
            </w:pPr>
            <w:r>
              <w:t>All three documents are inputs to the build. The coding agent must read all three before implementation, create a requirements traceability checklist, and never treat one document as a replacement for the other two.</w:t>
            </w:r>
          </w:p>
        </w:tc>
      </w:tr>
    </w:tbl>
    <w:p>
      <w:pPr>
        <w:spacing w:after="20"/>
      </w:pPr>
    </w:p>
    <w:p>
      <w:pPr>
        <w:pStyle w:val="Heading1"/>
        <w:pageBreakBefore w:val="0"/>
      </w:pPr>
      <w:r>
        <w:t>How to Use This Compendium</w:t>
      </w:r>
    </w:p>
    <w:p>
      <w:pPr>
        <w:widowControl/>
        <w:spacing w:after="80" w:before="0" w:line="259" w:lineRule="auto"/>
      </w:pPr>
      <w:r>
        <w:t>Treat this document as the product and program contract. The early sections define why the product exists and how athlete development should work. The middle sections define language, mental-performance methods, daily and competition workflows, and curriculum. The later sections define coach/team behavior, safety boundaries, development outcomes, MVP scope, reusable content, and remaining product decisions. Backend implementation is governed by Document 02 and screen-level UX by Document 03.</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1440"/>
            <w:shd w:fill="17324D"/>
            <w:tcMar>
              <w:top w:w="90" w:type="dxa"/>
              <w:start w:w="100" w:type="dxa"/>
              <w:bottom w:w="90" w:type="dxa"/>
              <w:end w:w="100" w:type="dxa"/>
            </w:tcMar>
            <w:vAlign w:val="center"/>
          </w:tcPr>
          <w:p>
            <w:pPr>
              <w:widowControl/>
              <w:jc w:val="left"/>
            </w:pPr>
            <w:r>
              <w:rPr>
                <w:rFonts w:ascii="Arial" w:hAnsi="Arial"/>
                <w:b/>
                <w:color w:val="FFFFFF"/>
                <w:sz w:val="18"/>
              </w:rPr>
              <w:t>Section</w:t>
            </w:r>
          </w:p>
        </w:tc>
        <w:tc>
          <w:tcPr>
            <w:tcW w:type="dxa" w:w="8352"/>
            <w:shd w:fill="17324D"/>
            <w:tcMar>
              <w:top w:w="90" w:type="dxa"/>
              <w:start w:w="100" w:type="dxa"/>
              <w:bottom w:w="90" w:type="dxa"/>
              <w:end w:w="100" w:type="dxa"/>
            </w:tcMar>
            <w:vAlign w:val="center"/>
          </w:tcPr>
          <w:p>
            <w:pPr>
              <w:widowControl/>
              <w:jc w:val="left"/>
            </w:pPr>
            <w:r>
              <w:rPr>
                <w:rFonts w:ascii="Arial" w:hAnsi="Arial"/>
                <w:b/>
                <w:color w:val="FFFFFF"/>
                <w:sz w:val="18"/>
              </w:rPr>
              <w:t>Use</w:t>
            </w:r>
          </w:p>
        </w:tc>
      </w:tr>
      <w:tr>
        <w:tc>
          <w:tcPr>
            <w:tcW w:type="dxa" w:w="5083"/>
          </w:tcPr>
          <w:p>
            <w:r>
              <w:t>1-3</w:t>
            </w:r>
          </w:p>
        </w:tc>
        <w:tc>
          <w:tcPr>
            <w:tcW w:type="dxa" w:w="5083"/>
          </w:tcPr>
          <w:p>
            <w:r>
              <w:t>Vision, goals, users, success criteria, and product principles</w:t>
            </w:r>
          </w:p>
        </w:tc>
      </w:tr>
      <w:tr>
        <w:tc>
          <w:tcPr>
            <w:tcW w:type="dxa" w:w="5083"/>
          </w:tcPr>
          <w:p>
            <w:r>
              <w:t>4-5</w:t>
            </w:r>
          </w:p>
        </w:tc>
        <w:tc>
          <w:tcPr>
            <w:tcW w:type="dxa" w:w="5083"/>
          </w:tcPr>
          <w:p>
            <w:r>
              <w:t>Merrill/Arnie program language and evidence-backed mental-performance foundation</w:t>
            </w:r>
          </w:p>
        </w:tc>
      </w:tr>
      <w:tr>
        <w:tc>
          <w:tcPr>
            <w:tcW w:type="dxa" w:w="5083"/>
          </w:tcPr>
          <w:p>
            <w:r>
              <w:t>6-10</w:t>
            </w:r>
          </w:p>
        </w:tc>
        <w:tc>
          <w:tcPr>
            <w:tcW w:type="dxa" w:w="5083"/>
          </w:tcPr>
          <w:p>
            <w:r>
              <w:t>Daily loop, goal system, YOU University, competition, and Practice Board</w:t>
            </w:r>
          </w:p>
        </w:tc>
      </w:tr>
      <w:tr>
        <w:tc>
          <w:tcPr>
            <w:tcW w:type="dxa" w:w="5083"/>
          </w:tcPr>
          <w:p>
            <w:r>
              <w:t>11-13</w:t>
            </w:r>
          </w:p>
        </w:tc>
        <w:tc>
          <w:tcPr>
            <w:tcW w:type="dxa" w:w="5083"/>
          </w:tcPr>
          <w:p>
            <w:r>
              <w:t>Coach experience, team culture, safety, privacy, and youth boundaries</w:t>
            </w:r>
          </w:p>
        </w:tc>
      </w:tr>
      <w:tr>
        <w:tc>
          <w:tcPr>
            <w:tcW w:type="dxa" w:w="5083"/>
          </w:tcPr>
          <w:p>
            <w:r>
              <w:t>16-17</w:t>
            </w:r>
          </w:p>
        </w:tc>
        <w:tc>
          <w:tcPr>
            <w:tcW w:type="dxa" w:w="5083"/>
          </w:tcPr>
          <w:p>
            <w:r>
              <w:t>Athlete development history and MVP product scope</w:t>
            </w:r>
          </w:p>
        </w:tc>
      </w:tr>
      <w:tr>
        <w:tc>
          <w:tcPr>
            <w:tcW w:type="dxa" w:w="5083"/>
          </w:tcPr>
          <w:p>
            <w:r>
              <w:t>19-20 + appendices</w:t>
            </w:r>
          </w:p>
        </w:tc>
        <w:tc>
          <w:tcPr>
            <w:tcW w:type="dxa" w:w="5083"/>
          </w:tcPr>
          <w:p>
            <w:r>
              <w:t>Reusable content patterns, product decisions, athlete-facing language, and evidence sources</w:t>
            </w:r>
          </w:p>
        </w:tc>
      </w:tr>
    </w:tbl>
    <w:p>
      <w:pPr>
        <w:spacing w:after="20"/>
      </w:pP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EAF3F9"/>
            <w:tcMar>
              <w:top w:w="150" w:type="dxa"/>
              <w:start w:w="170" w:type="dxa"/>
              <w:bottom w:w="150" w:type="dxa"/>
              <w:end w:w="170" w:type="dxa"/>
            </w:tcMar>
          </w:tcPr>
          <w:p>
            <w:pPr>
              <w:widowControl/>
              <w:spacing w:after="60"/>
            </w:pPr>
            <w:r>
              <w:rPr>
                <w:rFonts w:ascii="Arial" w:hAnsi="Arial"/>
                <w:b/>
                <w:color w:val="17324D"/>
                <w:sz w:val="21"/>
              </w:rPr>
              <w:t>Simple rebuild rule</w:t>
            </w:r>
          </w:p>
          <w:p>
            <w:pPr>
              <w:widowControl/>
              <w:spacing w:after="0" w:line="254" w:lineRule="auto"/>
            </w:pPr>
            <w:r>
              <w:rPr>
                <w:rFonts w:ascii="Arial" w:hAnsi="Arial"/>
                <w:color w:val="1E2730"/>
                <w:sz w:val="20"/>
              </w:rPr>
              <w:t>When a new idea appears, ask one question first: does it help a girl learn, practice, apply, or reflect on a useful athlete skill? If not, it does not belong in the first version.</w:t>
            </w:r>
          </w:p>
        </w:tc>
      </w:tr>
    </w:tbl>
    <w:p>
      <w:pPr>
        <w:spacing w:after="0"/>
      </w:pPr>
    </w:p>
    <w:p>
      <w:pPr>
        <w:pStyle w:val="Heading1"/>
        <w:pageBreakBefore w:val="0"/>
      </w:pPr>
      <w:r>
        <w:t>1. Product Vision</w:t>
      </w:r>
    </w:p>
    <w:p>
      <w:pPr>
        <w:pStyle w:val="Heading2"/>
      </w:pPr>
      <w:r>
        <w:t>Problem to solve</w:t>
      </w:r>
    </w:p>
    <w:p>
      <w:pPr>
        <w:widowControl/>
        <w:spacing w:after="80" w:before="0" w:line="259" w:lineRule="auto"/>
      </w:pPr>
      <w:r>
        <w:rPr>
          <w:rFonts w:ascii="Arial" w:hAnsi="Arial"/>
          <w:i w:val="0"/>
          <w:color w:val="1E2730"/>
        </w:rPr>
        <w:t>Coaches can teach technique and effort in the room, but much of athlete development depends on behaviors and mental skills that are easy to discuss once and then forget: process goals, focus, self-talk, reset skills, confidence, preparation, routines, reflection, recovery, and learning from adversity. Paper worksheets can introduce these ideas, but they are difficult to personalize, revisit, connect to practice, or use as a team coaching tool.</w:t>
      </w:r>
    </w:p>
    <w:p>
      <w:pPr>
        <w:pStyle w:val="Heading2"/>
      </w:pPr>
      <w:r>
        <w:t>Product promise</w:t>
      </w:r>
    </w:p>
    <w:p>
      <w:pPr>
        <w:widowControl/>
        <w:spacing w:after="80" w:before="0" w:line="259" w:lineRule="auto"/>
      </w:pPr>
      <w:r>
        <w:rPr>
          <w:rFonts w:ascii="Arial" w:hAnsi="Arial"/>
          <w:i w:val="0"/>
          <w:color w:val="1E2730"/>
        </w:rPr>
        <w:t>Every interaction should connect directly to wrestling. A wrestler should be able to open the app on her phone, know what her job is today, choose or write one clear focus, see that focus used by coaches during practice, reflect briefly afterward, and gradually build a personal performance manual from evidence collected across the season.</w:t>
      </w:r>
    </w:p>
    <w:p>
      <w:pPr>
        <w:pStyle w:val="Heading2"/>
      </w:pPr>
      <w:r>
        <w:t>Long-term outcome</w:t>
      </w:r>
    </w:p>
    <w:p>
      <w:pPr>
        <w:widowControl/>
        <w:spacing w:after="80" w:before="0" w:line="259" w:lineRule="auto"/>
      </w:pPr>
      <w:r>
        <w:rPr>
          <w:rFonts w:ascii="Arial" w:hAnsi="Arial"/>
          <w:i w:val="0"/>
          <w:color w:val="1E2730"/>
        </w:rPr>
        <w:t>The app should become less necessary as the athlete matures. Early in the season, a first-year wrestler may rely heavily on examples and prompts. Later, she should be able to name her own focus, recognize when she needs a reset, build a competition routine, identify useful evidence for confidence, and explain what she learned without needing the software to tell her what to say.</w:t>
      </w:r>
    </w:p>
    <w:p>
      <w:pPr>
        <w:pStyle w:val="Heading1"/>
        <w:pageBreakBefore w:val="0"/>
      </w:pPr>
      <w:r>
        <w:t>2. Program Goals and Success Criteria</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376"/>
            <w:shd w:fill="17324D"/>
            <w:tcMar>
              <w:top w:w="90" w:type="dxa"/>
              <w:start w:w="100" w:type="dxa"/>
              <w:bottom w:w="90" w:type="dxa"/>
              <w:end w:w="100" w:type="dxa"/>
            </w:tcMar>
            <w:vAlign w:val="center"/>
          </w:tcPr>
          <w:p>
            <w:pPr>
              <w:widowControl/>
              <w:jc w:val="left"/>
            </w:pPr>
            <w:r>
              <w:rPr>
                <w:rFonts w:ascii="Arial" w:hAnsi="Arial"/>
                <w:b/>
                <w:color w:val="FFFFFF"/>
                <w:sz w:val="18"/>
              </w:rPr>
              <w:t>Goal</w:t>
            </w:r>
          </w:p>
        </w:tc>
        <w:tc>
          <w:tcPr>
            <w:tcW w:type="dxa" w:w="7416"/>
            <w:shd w:fill="17324D"/>
            <w:tcMar>
              <w:top w:w="90" w:type="dxa"/>
              <w:start w:w="100" w:type="dxa"/>
              <w:bottom w:w="90" w:type="dxa"/>
              <w:end w:w="100" w:type="dxa"/>
            </w:tcMar>
            <w:vAlign w:val="center"/>
          </w:tcPr>
          <w:p>
            <w:pPr>
              <w:widowControl/>
              <w:jc w:val="left"/>
            </w:pPr>
            <w:r>
              <w:rPr>
                <w:rFonts w:ascii="Arial" w:hAnsi="Arial"/>
                <w:b/>
                <w:color w:val="FFFFFF"/>
                <w:sz w:val="18"/>
              </w:rPr>
              <w:t>What success looks like</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Self-awareness</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Athletes can name what they are focusing on, what affects their performance, and what helps them respond effectively.</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Process focus</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Girls learn to convert big outcome goals into controllable actions they can execute today.</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Mental skill use</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Breathing, cue words, imagery, routines, self-talk, and reset plans become practiced behaviors rather than one-time lessons.</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Confidence from evidence</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Confidence is built from preparation, progress, successful responses, coach feedback, and personal proof - not empty hype.</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Better practice coaching</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Coaches can see each wrestler's current 1% focus and use it during actual practice.</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Constructive reflection</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Athletes learn to separate Went Well from Improve and leave practice with a useful next action.</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Shared language</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The app reinforces language the girls hear in the room instead of replacing it with generic psychology or textbook wrestling language.</w:t>
            </w:r>
          </w:p>
        </w:tc>
      </w:tr>
      <w:tr>
        <w:trPr>
          <w:cantSplit/>
          <w:trHeight w:hRule="auto"/>
        </w:trPr>
        <w:tc>
          <w:tcPr>
            <w:tcW w:type="dxa" w:w="23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Season learning</w:t>
            </w:r>
          </w:p>
        </w:tc>
        <w:tc>
          <w:tcPr>
            <w:tcW w:type="dxa" w:w="741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By the end of the season, every athlete has a personal record of goals, routines, cues, wins, adjustments, and lessons that work for her.</w:t>
            </w:r>
          </w:p>
        </w:tc>
      </w:tr>
    </w:tbl>
    <w:p>
      <w:pPr>
        <w:spacing w:after="20"/>
      </w:pPr>
    </w:p>
    <w:p>
      <w:pPr>
        <w:pStyle w:val="Heading2"/>
      </w:pPr>
      <w:r>
        <w:t>Measures that matter</w:t>
      </w:r>
    </w:p>
    <w:p>
      <w:pPr>
        <w:pStyle w:val="CompactBullet"/>
        <w:ind w:left="360" w:hanging="173"/>
      </w:pPr>
      <w:r>
        <w:rPr>
          <w:rFonts w:ascii="Arial" w:hAnsi="Arial"/>
          <w:sz w:val="21"/>
        </w:rPr>
        <w:t>• Percentage of practices where athletes intentionally set a usable 1% focus before practice.</w:t>
      </w:r>
    </w:p>
    <w:p>
      <w:pPr>
        <w:pStyle w:val="CompactBullet"/>
        <w:ind w:left="360" w:hanging="173"/>
      </w:pPr>
      <w:r>
        <w:rPr>
          <w:rFonts w:ascii="Arial" w:hAnsi="Arial"/>
          <w:sz w:val="21"/>
        </w:rPr>
        <w:t>• Percentage of check-ins completed without coach prompting.</w:t>
      </w:r>
    </w:p>
    <w:p>
      <w:pPr>
        <w:pStyle w:val="CompactBullet"/>
        <w:ind w:left="360" w:hanging="173"/>
      </w:pPr>
      <w:r>
        <w:rPr>
          <w:rFonts w:ascii="Arial" w:hAnsi="Arial"/>
          <w:sz w:val="21"/>
        </w:rPr>
        <w:t>• Growth in athlete-created goals versus relying only on canned examples.</w:t>
      </w:r>
    </w:p>
    <w:p>
      <w:pPr>
        <w:pStyle w:val="CompactBullet"/>
        <w:ind w:left="360" w:hanging="173"/>
      </w:pPr>
      <w:r>
        <w:rPr>
          <w:rFonts w:ascii="Arial" w:hAnsi="Arial"/>
          <w:sz w:val="21"/>
        </w:rPr>
        <w:t>• Number of usable confidence-evidence entries collected during the season.</w:t>
      </w:r>
    </w:p>
    <w:p>
      <w:pPr>
        <w:pStyle w:val="CompactBullet"/>
        <w:ind w:left="360" w:hanging="173"/>
      </w:pPr>
      <w:r>
        <w:rPr>
          <w:rFonts w:ascii="Arial" w:hAnsi="Arial"/>
          <w:sz w:val="21"/>
        </w:rPr>
        <w:t>• Ability to build and consistently use a personal competition routine.</w:t>
      </w:r>
    </w:p>
    <w:p>
      <w:pPr>
        <w:pStyle w:val="CompactBullet"/>
        <w:ind w:left="360" w:hanging="173"/>
      </w:pPr>
      <w:r>
        <w:rPr>
          <w:rFonts w:ascii="Arial" w:hAnsi="Arial"/>
          <w:sz w:val="21"/>
        </w:rPr>
        <w:t>• Coach-reported usefulness of the Practice Board during live training.</w:t>
      </w:r>
    </w:p>
    <w:p>
      <w:pPr>
        <w:pStyle w:val="CompactBullet"/>
        <w:ind w:left="360" w:hanging="173"/>
      </w:pPr>
      <w:r>
        <w:rPr>
          <w:rFonts w:ascii="Arial" w:hAnsi="Arial"/>
          <w:sz w:val="21"/>
        </w:rPr>
        <w:t>• Athlete ability to explain her current focus and next adjustment in her own words.</w:t>
      </w:r>
    </w:p>
    <w:p>
      <w:pPr>
        <w:pStyle w:val="CompactBullet"/>
        <w:ind w:left="360" w:hanging="173"/>
      </w:pPr>
      <w:r>
        <w:rPr>
          <w:rFonts w:ascii="Arial" w:hAnsi="Arial"/>
          <w:sz w:val="21"/>
        </w:rPr>
        <w:t>• End-of-season personal performance manual completed and understood by the athlete.</w:t>
      </w:r>
    </w:p>
    <w:p>
      <w:pPr>
        <w:pStyle w:val="SmallNote"/>
        <w:widowControl/>
        <w:spacing w:after="60" w:before="0" w:line="259" w:lineRule="auto"/>
      </w:pPr>
      <w:r>
        <w:rPr>
          <w:rFonts w:ascii="Arial" w:hAnsi="Arial"/>
          <w:i w:val="0"/>
          <w:color w:val="60717F"/>
        </w:rPr>
        <w:t>Avoid treating streaks, raw screen time, total journal entries, or a single composite mental-toughness number as primary success measures.</w:t>
      </w:r>
    </w:p>
    <w:p>
      <w:r>
        <w:br w:type="page"/>
      </w:r>
    </w:p>
    <w:p>
      <w:pPr>
        <w:pStyle w:val="Heading1"/>
        <w:pageBreakBefore w:val="0"/>
      </w:pPr>
      <w:r>
        <w:t>3. Users and Roles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uto"/>
          <w:tblHeader w:val="true"/>
          <w:cantSplit/>
        </w:trPr>
        <w:tc>
          <w:tcPr>
            <w:tcW w:type="dxa" w:w="1728"/>
            <w:shd w:fill="17324D"/>
            <w:tcMar>
              <w:top w:w="90" w:type="dxa"/>
              <w:start w:w="100" w:type="dxa"/>
              <w:bottom w:w="90" w:type="dxa"/>
              <w:end w:w="100" w:type="dxa"/>
            </w:tcMar>
            <w:vAlign w:val="center"/>
          </w:tcPr>
          <w:p>
            <w:pPr>
              <w:widowControl/>
              <w:jc w:val="left"/>
            </w:pPr>
            <w:r>
              <w:rPr>
                <w:rFonts w:ascii="Arial" w:hAnsi="Arial"/>
                <w:b/>
                <w:color w:val="FFFFFF"/>
                <w:sz w:val="18"/>
              </w:rPr>
              <w:t>Role</w:t>
            </w:r>
          </w:p>
        </w:tc>
        <w:tc>
          <w:tcPr>
            <w:tcW w:type="dxa" w:w="3240"/>
            <w:shd w:fill="17324D"/>
            <w:tcMar>
              <w:top w:w="90" w:type="dxa"/>
              <w:start w:w="100" w:type="dxa"/>
              <w:bottom w:w="90" w:type="dxa"/>
              <w:end w:w="100" w:type="dxa"/>
            </w:tcMar>
            <w:vAlign w:val="center"/>
          </w:tcPr>
          <w:p>
            <w:pPr>
              <w:widowControl/>
              <w:jc w:val="left"/>
            </w:pPr>
            <w:r>
              <w:rPr>
                <w:rFonts w:ascii="Arial" w:hAnsi="Arial"/>
                <w:b/>
                <w:color w:val="FFFFFF"/>
                <w:sz w:val="18"/>
              </w:rPr>
              <w:t>Primary need</w:t>
            </w:r>
          </w:p>
        </w:tc>
        <w:tc>
          <w:tcPr>
            <w:tcW w:type="dxa" w:w="4824"/>
            <w:shd w:fill="17324D"/>
            <w:tcMar>
              <w:top w:w="90" w:type="dxa"/>
              <w:start w:w="100" w:type="dxa"/>
              <w:bottom w:w="90" w:type="dxa"/>
              <w:end w:w="100" w:type="dxa"/>
            </w:tcMar>
            <w:vAlign w:val="center"/>
          </w:tcPr>
          <w:p>
            <w:pPr>
              <w:widowControl/>
              <w:jc w:val="left"/>
            </w:pPr>
            <w:r>
              <w:rPr>
                <w:rFonts w:ascii="Arial" w:hAnsi="Arial"/>
                <w:b/>
                <w:color w:val="FFFFFF"/>
                <w:sz w:val="18"/>
              </w:rPr>
              <w:t>Primary experience</w:t>
            </w:r>
          </w:p>
        </w:tc>
      </w:tr>
      <w:tr>
        <w:trPr>
          <w:cantSplit/>
          <w:trHeight w:hRule="auto"/>
        </w:trPr>
        <w:tc>
          <w:tcPr>
            <w:tcW w:type="dxa" w:w="17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Athlete</w:t>
            </w:r>
          </w:p>
        </w:tc>
        <w:tc>
          <w:tcPr>
            <w:tcW w:type="dxa" w:w="324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Know what to work on and learn how to self-coach</w:t>
            </w:r>
          </w:p>
        </w:tc>
        <w:tc>
          <w:tcPr>
            <w:tcW w:type="dxa" w:w="48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Fast phone interactions; examples when needed; private development history; competition tools</w:t>
            </w:r>
          </w:p>
        </w:tc>
      </w:tr>
      <w:tr>
        <w:trPr>
          <w:cantSplit/>
          <w:trHeight w:hRule="auto"/>
        </w:trPr>
        <w:tc>
          <w:tcPr>
            <w:tcW w:type="dxa" w:w="17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w:t>
            </w:r>
          </w:p>
        </w:tc>
        <w:tc>
          <w:tcPr>
            <w:tcW w:type="dxa" w:w="324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Keep individual focus visible while coaching the whole room</w:t>
            </w:r>
          </w:p>
        </w:tc>
        <w:tc>
          <w:tcPr>
            <w:tcW w:type="dxa" w:w="48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 Board, roster/focus view, curriculum control, team trends, recognition, coach-approved content</w:t>
            </w:r>
          </w:p>
        </w:tc>
      </w:tr>
      <w:tr>
        <w:trPr>
          <w:cantSplit/>
          <w:trHeight w:hRule="auto"/>
        </w:trPr>
        <w:tc>
          <w:tcPr>
            <w:tcW w:type="dxa" w:w="17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 display</w:t>
            </w:r>
          </w:p>
        </w:tc>
        <w:tc>
          <w:tcPr>
            <w:tcW w:type="dxa" w:w="324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Make each athlete's intentional goal visible in the room</w:t>
            </w:r>
          </w:p>
        </w:tc>
        <w:tc>
          <w:tcPr>
            <w:tcW w:type="dxa" w:w="48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Large-screen, glanceable name + Today's 1% + optional Pillar; no ranking</w:t>
            </w:r>
          </w:p>
        </w:tc>
      </w:tr>
      <w:tr>
        <w:trPr>
          <w:cantSplit/>
          <w:trHeight w:hRule="auto"/>
        </w:trPr>
        <w:tc>
          <w:tcPr>
            <w:tcW w:type="dxa" w:w="17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Program administrator</w:t>
            </w:r>
          </w:p>
        </w:tc>
        <w:tc>
          <w:tcPr>
            <w:tcW w:type="dxa" w:w="324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Maintain content and safe access</w:t>
            </w:r>
          </w:p>
        </w:tc>
        <w:tc>
          <w:tcPr>
            <w:tcW w:type="dxa" w:w="48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Roster, roles, content library, season settings, visibility rules, exports</w:t>
            </w:r>
          </w:p>
        </w:tc>
      </w:tr>
    </w:tbl>
    <w:p>
      <w:pPr>
        <w:spacing w:after="20"/>
      </w:pPr>
    </w:p>
    <w:p>
      <w:pPr>
        <w:pStyle w:val="Heading2"/>
      </w:pPr>
      <w:r>
        <w:t>Athlete experience principle</w:t>
      </w: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EAF4EC"/>
            <w:tcMar>
              <w:top w:w="150" w:type="dxa"/>
              <w:start w:w="170" w:type="dxa"/>
              <w:bottom w:w="150" w:type="dxa"/>
              <w:end w:w="170" w:type="dxa"/>
            </w:tcMar>
          </w:tcPr>
          <w:p>
            <w:pPr>
              <w:widowControl/>
              <w:spacing w:after="60"/>
            </w:pPr>
            <w:r>
              <w:rPr>
                <w:rFonts w:ascii="Arial" w:hAnsi="Arial"/>
                <w:b/>
                <w:color w:val="17324D"/>
                <w:sz w:val="21"/>
              </w:rPr>
              <w:t>Phone first, not phone heavy</w:t>
            </w:r>
          </w:p>
          <w:p>
            <w:pPr>
              <w:widowControl/>
              <w:spacing w:after="0" w:line="254" w:lineRule="auto"/>
            </w:pPr>
            <w:r>
              <w:rPr>
                <w:rFonts w:ascii="Arial" w:hAnsi="Arial"/>
                <w:color w:val="1E2730"/>
                <w:sz w:val="20"/>
              </w:rPr>
              <w:t>The app should take seconds before and after practice. The point is to change what happens on the mat, not to create another place athletes spend time staring at a screen.</w:t>
            </w:r>
          </w:p>
        </w:tc>
      </w:tr>
    </w:tbl>
    <w:p>
      <w:pPr>
        <w:spacing w:after="0"/>
      </w:pPr>
    </w:p>
    <w:p>
      <w:pPr>
        <w:pStyle w:val="Heading1"/>
        <w:pageBreakBefore w:val="0"/>
      </w:pPr>
      <w:r>
        <w:t>4. Merrill / Arnie Program Language</w:t>
      </w:r>
    </w:p>
    <w:p>
      <w:pPr>
        <w:widowControl/>
        <w:spacing w:after="80" w:before="0" w:line="259" w:lineRule="auto"/>
      </w:pPr>
      <w:r>
        <w:rPr>
          <w:rFonts w:ascii="Arial" w:hAnsi="Arial"/>
          <w:i w:val="0"/>
          <w:color w:val="1E2730"/>
        </w:rPr>
        <w:t>The rebuild begins with the language already established in the program. The software may explain the science underneath these concepts, but it should not replace familiar team language with academic labels.</w:t>
      </w:r>
    </w:p>
    <w:p>
      <w:pPr>
        <w:pStyle w:val="Heading2"/>
      </w:pPr>
      <w:r>
        <w:t>4.1 The 1% idea</w:t>
      </w:r>
    </w:p>
    <w:p>
      <w:pPr>
        <w:widowControl/>
        <w:spacing w:after="80" w:before="0" w:line="259" w:lineRule="auto"/>
      </w:pPr>
      <w:r>
        <w:rPr>
          <w:rFonts w:ascii="Arial" w:hAnsi="Arial"/>
          <w:i w:val="0"/>
          <w:color w:val="1E2730"/>
        </w:rPr>
        <w:t>Working team concept: get 1% better every day. In the app, the operational version is Today's 1% - one clear, controllable focus for the current practice or competition.</w:t>
      </w:r>
    </w:p>
    <w:p>
      <w:pPr>
        <w:pStyle w:val="Heading2"/>
      </w:pPr>
      <w:r>
        <w:t>4.2 Four performance Pillars + Respect</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1944"/>
            <w:shd w:fill="17324D"/>
            <w:tcMar>
              <w:top w:w="90" w:type="dxa"/>
              <w:start w:w="100" w:type="dxa"/>
              <w:bottom w:w="90" w:type="dxa"/>
              <w:end w:w="100" w:type="dxa"/>
            </w:tcMar>
            <w:vAlign w:val="center"/>
          </w:tcPr>
          <w:p>
            <w:pPr>
              <w:widowControl/>
              <w:jc w:val="left"/>
            </w:pPr>
            <w:r>
              <w:rPr>
                <w:rFonts w:ascii="Arial" w:hAnsi="Arial"/>
                <w:b/>
                <w:color w:val="FFFFFF"/>
                <w:sz w:val="18"/>
              </w:rPr>
              <w:t>Word</w:t>
            </w:r>
          </w:p>
        </w:tc>
        <w:tc>
          <w:tcPr>
            <w:tcW w:type="dxa" w:w="7848"/>
            <w:shd w:fill="17324D"/>
            <w:tcMar>
              <w:top w:w="90" w:type="dxa"/>
              <w:start w:w="100" w:type="dxa"/>
              <w:bottom w:w="90" w:type="dxa"/>
              <w:end w:w="100" w:type="dxa"/>
            </w:tcMar>
            <w:vAlign w:val="center"/>
          </w:tcPr>
          <w:p>
            <w:pPr>
              <w:widowControl/>
              <w:jc w:val="left"/>
            </w:pPr>
            <w:r>
              <w:rPr>
                <w:rFonts w:ascii="Arial" w:hAnsi="Arial"/>
                <w:b/>
                <w:color w:val="FFFFFF"/>
                <w:sz w:val="18"/>
              </w:rPr>
              <w:t>Behavioral meaning in the app</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Persistent</w:t>
            </w:r>
          </w:p>
        </w:tc>
        <w:tc>
          <w:tcPr>
            <w:tcW w:type="dxa" w:w="784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Keep working when the first attempt does not work.</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Consistent</w:t>
            </w:r>
          </w:p>
        </w:tc>
        <w:tc>
          <w:tcPr>
            <w:tcW w:type="dxa" w:w="784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Repeat useful habits and sound wrestling behaviors even when tired or frustrated.</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Resilient</w:t>
            </w:r>
          </w:p>
        </w:tc>
        <w:tc>
          <w:tcPr>
            <w:tcW w:type="dxa" w:w="784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Return to useful action after a mistake, bad position, lost point, hard practice, or disappointing result.</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Relentless</w:t>
            </w:r>
          </w:p>
        </w:tc>
        <w:tc>
          <w:tcPr>
            <w:tcW w:type="dxa" w:w="784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Continue creating useful pressure and action rather than mentally checking out.</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Respectful</w:t>
            </w:r>
          </w:p>
        </w:tc>
        <w:tc>
          <w:tcPr>
            <w:tcW w:type="dxa" w:w="784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Treat teammates, opponents, coaches, officials, self, and the room in a way that strengthens the program.</w:t>
            </w:r>
          </w:p>
        </w:tc>
      </w:tr>
    </w:tbl>
    <w:p>
      <w:pPr>
        <w:spacing w:after="20"/>
      </w:pPr>
    </w:p>
    <w:p>
      <w:pPr>
        <w:widowControl/>
        <w:spacing w:after="80" w:before="0" w:line="259" w:lineRule="auto"/>
      </w:pPr>
      <w:r>
        <w:rPr>
          <w:rFonts w:ascii="Arial" w:hAnsi="Arial"/>
          <w:i w:val="0"/>
          <w:color w:val="1E2730"/>
        </w:rPr>
        <w:t>The four performance words can be tied to the existing 4-4-4-4 reset/breathing routine. Respectful functions as a program identity standard rather than another breath phase.</w:t>
      </w:r>
    </w:p>
    <w:p>
      <w:pPr>
        <w:pStyle w:val="Heading2"/>
      </w:pPr>
      <w:r>
        <w:t>4.3 The Five Cs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uto"/>
          <w:tblHeader w:val="true"/>
          <w:cantSplit/>
        </w:trPr>
        <w:tc>
          <w:tcPr>
            <w:tcW w:type="dxa" w:w="1655"/>
            <w:shd w:fill="17324D"/>
            <w:tcMar>
              <w:top w:w="90" w:type="dxa"/>
              <w:start w:w="100" w:type="dxa"/>
              <w:bottom w:w="90" w:type="dxa"/>
              <w:end w:w="100" w:type="dxa"/>
            </w:tcMar>
            <w:vAlign w:val="center"/>
          </w:tcPr>
          <w:p>
            <w:pPr>
              <w:widowControl/>
              <w:jc w:val="left"/>
            </w:pPr>
            <w:r>
              <w:rPr>
                <w:rFonts w:ascii="Arial" w:hAnsi="Arial"/>
                <w:b/>
                <w:color w:val="FFFFFF"/>
                <w:sz w:val="18"/>
              </w:rPr>
              <w:t>C</w:t>
            </w:r>
          </w:p>
        </w:tc>
        <w:tc>
          <w:tcPr>
            <w:tcW w:type="dxa" w:w="4752"/>
            <w:shd w:fill="17324D"/>
            <w:tcMar>
              <w:top w:w="90" w:type="dxa"/>
              <w:start w:w="100" w:type="dxa"/>
              <w:bottom w:w="90" w:type="dxa"/>
              <w:end w:w="100" w:type="dxa"/>
            </w:tcMar>
            <w:vAlign w:val="center"/>
          </w:tcPr>
          <w:p>
            <w:pPr>
              <w:widowControl/>
              <w:jc w:val="left"/>
            </w:pPr>
            <w:r>
              <w:rPr>
                <w:rFonts w:ascii="Arial" w:hAnsi="Arial"/>
                <w:b/>
                <w:color w:val="FFFFFF"/>
                <w:sz w:val="18"/>
              </w:rPr>
              <w:t>Working meaning</w:t>
            </w:r>
          </w:p>
        </w:tc>
        <w:tc>
          <w:tcPr>
            <w:tcW w:type="dxa" w:w="3384"/>
            <w:shd w:fill="17324D"/>
            <w:tcMar>
              <w:top w:w="90" w:type="dxa"/>
              <w:start w:w="100" w:type="dxa"/>
              <w:bottom w:w="90" w:type="dxa"/>
              <w:end w:w="100" w:type="dxa"/>
            </w:tcMar>
            <w:vAlign w:val="center"/>
          </w:tcPr>
          <w:p>
            <w:pPr>
              <w:widowControl/>
              <w:jc w:val="left"/>
            </w:pPr>
            <w:r>
              <w:rPr>
                <w:rFonts w:ascii="Arial" w:hAnsi="Arial"/>
                <w:b/>
                <w:color w:val="FFFFFF"/>
                <w:sz w:val="18"/>
              </w:rPr>
              <w:t>Use</w:t>
            </w:r>
          </w:p>
        </w:tc>
      </w:tr>
      <w:tr>
        <w:trPr>
          <w:cantSplit/>
          <w:trHeight w:hRule="auto"/>
        </w:trPr>
        <w:tc>
          <w:tcPr>
            <w:tcW w:type="dxa" w:w="165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Commitment</w:t>
            </w:r>
          </w:p>
        </w:tc>
        <w:tc>
          <w:tcPr>
            <w:tcW w:type="dxa" w:w="475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Dedication to the work and the goal</w:t>
            </w:r>
          </w:p>
        </w:tc>
        <w:tc>
          <w:tcPr>
            <w:tcW w:type="dxa" w:w="338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Pre/post self-awareness</w:t>
            </w:r>
          </w:p>
        </w:tc>
      </w:tr>
      <w:tr>
        <w:trPr>
          <w:cantSplit/>
          <w:trHeight w:hRule="auto"/>
        </w:trPr>
        <w:tc>
          <w:tcPr>
            <w:tcW w:type="dxa" w:w="165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Courage</w:t>
            </w:r>
          </w:p>
        </w:tc>
        <w:tc>
          <w:tcPr>
            <w:tcW w:type="dxa" w:w="475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Willingness to attempt, engage, and face challenge</w:t>
            </w:r>
          </w:p>
        </w:tc>
        <w:tc>
          <w:tcPr>
            <w:tcW w:type="dxa" w:w="338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Pre/post self-awareness</w:t>
            </w:r>
          </w:p>
        </w:tc>
      </w:tr>
      <w:tr>
        <w:trPr>
          <w:cantSplit/>
          <w:trHeight w:hRule="auto"/>
        </w:trPr>
        <w:tc>
          <w:tcPr>
            <w:tcW w:type="dxa" w:w="165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Concentration</w:t>
            </w:r>
          </w:p>
        </w:tc>
        <w:tc>
          <w:tcPr>
            <w:tcW w:type="dxa" w:w="475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Ability to keep or return attention to the job</w:t>
            </w:r>
          </w:p>
        </w:tc>
        <w:tc>
          <w:tcPr>
            <w:tcW w:type="dxa" w:w="338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Pre/post self-awareness</w:t>
            </w:r>
          </w:p>
        </w:tc>
      </w:tr>
      <w:tr>
        <w:trPr>
          <w:cantSplit/>
          <w:trHeight w:hRule="auto"/>
        </w:trPr>
        <w:tc>
          <w:tcPr>
            <w:tcW w:type="dxa" w:w="165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Control</w:t>
            </w:r>
          </w:p>
        </w:tc>
        <w:tc>
          <w:tcPr>
            <w:tcW w:type="dxa" w:w="475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Ability to regulate response and stay useful</w:t>
            </w:r>
          </w:p>
        </w:tc>
        <w:tc>
          <w:tcPr>
            <w:tcW w:type="dxa" w:w="338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Pre/post self-awareness</w:t>
            </w:r>
          </w:p>
        </w:tc>
      </w:tr>
      <w:tr>
        <w:trPr>
          <w:cantSplit/>
          <w:trHeight w:hRule="auto"/>
        </w:trPr>
        <w:tc>
          <w:tcPr>
            <w:tcW w:type="dxa" w:w="165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Confidence</w:t>
            </w:r>
          </w:p>
        </w:tc>
        <w:tc>
          <w:tcPr>
            <w:tcW w:type="dxa" w:w="475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Belief supported by preparation, mastery, and evidence</w:t>
            </w:r>
          </w:p>
        </w:tc>
        <w:tc>
          <w:tcPr>
            <w:tcW w:type="dxa" w:w="338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Pre/post self-awareness + Confidence Bank</w:t>
            </w:r>
          </w:p>
        </w:tc>
      </w:tr>
    </w:tbl>
    <w:p>
      <w:pPr>
        <w:spacing w:after="20"/>
      </w:pPr>
    </w:p>
    <w:p>
      <w:pPr>
        <w:widowControl/>
        <w:spacing w:after="80" w:before="0" w:line="259" w:lineRule="auto"/>
      </w:pPr>
      <w:r>
        <w:rPr>
          <w:rFonts w:ascii="Arial" w:hAnsi="Arial"/>
          <w:i w:val="0"/>
          <w:color w:val="1E2730"/>
        </w:rPr>
        <w:t>Working V1 choice: retain a 1-10 tap scale because it mirrors the packet structure, but do not make the total /50 score the point. The useful information is the athlete's pattern and what changed.</w:t>
      </w:r>
    </w:p>
    <w:p>
      <w:pPr>
        <w:pStyle w:val="Heading2"/>
      </w:pPr>
      <w:r>
        <w:t>4.4 Example buckets</w:t>
      </w:r>
    </w:p>
    <w:p>
      <w:pPr>
        <w:widowControl/>
        <w:spacing w:after="80" w:before="0" w:line="259" w:lineRule="auto"/>
      </w:pPr>
      <w:r>
        <w:rPr>
          <w:rFonts w:ascii="Arial" w:hAnsi="Arial"/>
          <w:i w:val="0"/>
          <w:color w:val="1E2730"/>
        </w:rPr>
        <w:t>A major instructional rule is that abstract questions should offer short examples. Examples are scaffolding, not answers the athlete is forced to use. As athletes gain experience, the interface should make it easy to choose "My own" and gradually depend less on canned language.</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232"/>
            <w:shd w:fill="17324D"/>
            <w:tcMar>
              <w:top w:w="90" w:type="dxa"/>
              <w:start w:w="100" w:type="dxa"/>
              <w:bottom w:w="90" w:type="dxa"/>
              <w:end w:w="100" w:type="dxa"/>
            </w:tcMar>
            <w:vAlign w:val="center"/>
          </w:tcPr>
          <w:p>
            <w:pPr>
              <w:widowControl/>
              <w:jc w:val="left"/>
            </w:pPr>
            <w:r>
              <w:rPr>
                <w:rFonts w:ascii="Arial" w:hAnsi="Arial"/>
                <w:b/>
                <w:color w:val="FFFFFF"/>
                <w:sz w:val="18"/>
              </w:rPr>
              <w:t>Prompt</w:t>
            </w:r>
          </w:p>
        </w:tc>
        <w:tc>
          <w:tcPr>
            <w:tcW w:type="dxa" w:w="7560"/>
            <w:shd w:fill="17324D"/>
            <w:tcMar>
              <w:top w:w="90" w:type="dxa"/>
              <w:start w:w="100" w:type="dxa"/>
              <w:bottom w:w="90" w:type="dxa"/>
              <w:end w:w="100" w:type="dxa"/>
            </w:tcMar>
            <w:vAlign w:val="center"/>
          </w:tcPr>
          <w:p>
            <w:pPr>
              <w:widowControl/>
              <w:jc w:val="left"/>
            </w:pPr>
            <w:r>
              <w:rPr>
                <w:rFonts w:ascii="Arial" w:hAnsi="Arial"/>
                <w:b/>
                <w:color w:val="FFFFFF"/>
                <w:sz w:val="18"/>
              </w:rPr>
              <w:t>Starter examples</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Today's 1% / practice focus</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Be first to contact; keep good stance late in practice; fast stand-up; hand-fight with purpose; stay calm after a mistake; finish every rep cleanly</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How will I show up?</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Calm and confident; focused on clean technique; aggressive but controlled; coachable; breathe and reset fast; compete every rep</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Went Well</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Kept good stance; listened and corrected; stayed calm in a hard go; kept wrestling after a mistake; helped a teammate; finished the rep the right way</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Improve</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Move my feet better; set up attacks sooner; stay lower late; reset faster; keep pressure; ask for feedback on one position</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Gratitude</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My teammates; coach feedback; a healthy body; family support; the chance to compete; someone who pushed me today</w:t>
            </w:r>
          </w:p>
        </w:tc>
      </w:tr>
    </w:tbl>
    <w:p>
      <w:pPr>
        <w:spacing w:after="20"/>
      </w:pP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F9ECEC"/>
            <w:tcMar>
              <w:top w:w="150" w:type="dxa"/>
              <w:start w:w="170" w:type="dxa"/>
              <w:bottom w:w="150" w:type="dxa"/>
              <w:end w:w="170" w:type="dxa"/>
            </w:tcMar>
          </w:tcPr>
          <w:p>
            <w:pPr>
              <w:widowControl/>
              <w:spacing w:after="60"/>
            </w:pPr>
            <w:r>
              <w:rPr>
                <w:rFonts w:ascii="Arial" w:hAnsi="Arial"/>
                <w:b/>
                <w:color w:val="17324D"/>
                <w:sz w:val="21"/>
              </w:rPr>
              <w:t>Technique-language rule</w:t>
            </w:r>
          </w:p>
          <w:p>
            <w:pPr>
              <w:widowControl/>
              <w:spacing w:after="0" w:line="254" w:lineRule="auto"/>
            </w:pPr>
            <w:r>
              <w:rPr>
                <w:rFonts w:ascii="Arial" w:hAnsi="Arial"/>
                <w:color w:val="1E2730"/>
                <w:sz w:val="20"/>
              </w:rPr>
              <w:t>Technique phrases in the athlete-facing app should be added from actual Merrill coaching usage. If the room does not say it, the app should not pretend that it does.</w:t>
            </w:r>
          </w:p>
        </w:tc>
      </w:tr>
    </w:tbl>
    <w:p>
      <w:pPr>
        <w:spacing w:after="0"/>
      </w:pPr>
    </w:p>
    <w:p>
      <w:r>
        <w:br w:type="page"/>
      </w:r>
    </w:p>
    <w:p>
      <w:pPr>
        <w:pStyle w:val="Heading1"/>
        <w:pageBreakBefore w:val="0"/>
      </w:pPr>
      <w:r>
        <w:t>5. Evidence-Based Mental Performance Foundation</w:t>
      </w:r>
    </w:p>
    <w:p>
      <w:pPr>
        <w:widowControl/>
        <w:spacing w:after="80" w:before="0" w:line="259" w:lineRule="auto"/>
      </w:pPr>
      <w:r>
        <w:rPr>
          <w:rFonts w:ascii="Arial" w:hAnsi="Arial"/>
          <w:i w:val="0"/>
          <w:color w:val="1E2730"/>
        </w:rPr>
        <w:t>The product should use elite-program principles and research as the method underneath the Merrill language. We do not need to copy another organization's app. We need to apply the parts that consistently show up in high-performance systems and translate them into our daily wrestling environment.</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3096"/>
            <w:shd w:fill="17324D"/>
            <w:tcMar>
              <w:top w:w="90" w:type="dxa"/>
              <w:start w:w="100" w:type="dxa"/>
              <w:bottom w:w="90" w:type="dxa"/>
              <w:end w:w="100" w:type="dxa"/>
            </w:tcMar>
            <w:vAlign w:val="center"/>
          </w:tcPr>
          <w:p>
            <w:pPr>
              <w:widowControl/>
              <w:jc w:val="left"/>
            </w:pPr>
            <w:r>
              <w:rPr>
                <w:rFonts w:ascii="Arial" w:hAnsi="Arial"/>
                <w:b/>
                <w:color w:val="FFFFFF"/>
                <w:sz w:val="18"/>
              </w:rPr>
              <w:t>Evidence / model</w:t>
            </w:r>
          </w:p>
        </w:tc>
        <w:tc>
          <w:tcPr>
            <w:tcW w:type="dxa" w:w="6696"/>
            <w:shd w:fill="17324D"/>
            <w:tcMar>
              <w:top w:w="90" w:type="dxa"/>
              <w:start w:w="100" w:type="dxa"/>
              <w:bottom w:w="90" w:type="dxa"/>
              <w:end w:w="100" w:type="dxa"/>
            </w:tcMar>
            <w:vAlign w:val="center"/>
          </w:tcPr>
          <w:p>
            <w:pPr>
              <w:widowControl/>
              <w:jc w:val="left"/>
            </w:pPr>
            <w:r>
              <w:rPr>
                <w:rFonts w:ascii="Arial" w:hAnsi="Arial"/>
                <w:b/>
                <w:color w:val="FFFFFF"/>
                <w:sz w:val="18"/>
              </w:rPr>
              <w:t>Design implication</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USOPC mental performance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Mental skills are trainable. Teach why a skill matters, practice it consistently with feedback, and adapt it to the athlete and sport.</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Australian Institute of Sport</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Build a sport-specific Mental Performance in Competition curriculum that can be practiced in the daily training environment and used in competition.</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UK Sports Institute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process focus, shared language, clear standards, appropriate challenge/support, purposeful experience, reflection, and learning from failure.</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Goal-setting meta-analysis</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Prioritize process goals. Outcome goals can set direction, but Today's 1% should be controllable and executable.</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Pre-performance routine meta-analysis</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Help athletes build a repeatable sequence of useful thoughts/actions before performance and practice it before high-pressure moments arrive.</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Imagery meta-analysis</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short, sport-specific mental rehearsal connected to actual skills, situations, cues, and responses.</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USOPC sleep guidance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Teach recovery and sleep as performance preparation. Adolescents generally need more sleep than adults; avoid turning sleep into shame or a public score.</w:t>
            </w:r>
          </w:p>
        </w:tc>
      </w:tr>
    </w:tbl>
    <w:p>
      <w:pPr>
        <w:spacing w:after="20"/>
      </w:pPr>
    </w:p>
    <w:p>
      <w:pPr>
        <w:pStyle w:val="Heading2"/>
      </w:pPr>
      <w:r>
        <w:t>Methods approved for the curriculum</w:t>
      </w:r>
    </w:p>
    <w:p>
      <w:pPr>
        <w:pStyle w:val="CompactBullet"/>
        <w:ind w:left="360" w:hanging="173"/>
      </w:pPr>
      <w:r>
        <w:rPr>
          <w:rFonts w:ascii="Arial" w:hAnsi="Arial"/>
          <w:sz w:val="21"/>
        </w:rPr>
        <w:t>• Process goal setting and goal ladders.</w:t>
      </w:r>
    </w:p>
    <w:p>
      <w:pPr>
        <w:pStyle w:val="CompactBullet"/>
        <w:ind w:left="360" w:hanging="173"/>
      </w:pPr>
      <w:r>
        <w:rPr>
          <w:rFonts w:ascii="Arial" w:hAnsi="Arial"/>
          <w:sz w:val="21"/>
        </w:rPr>
        <w:t>• Attention control and focus cues.</w:t>
      </w:r>
    </w:p>
    <w:p>
      <w:pPr>
        <w:pStyle w:val="CompactBullet"/>
        <w:ind w:left="360" w:hanging="173"/>
      </w:pPr>
      <w:r>
        <w:rPr>
          <w:rFonts w:ascii="Arial" w:hAnsi="Arial"/>
          <w:sz w:val="21"/>
        </w:rPr>
        <w:t>• Instructional and motivational self-talk.</w:t>
      </w:r>
    </w:p>
    <w:p>
      <w:pPr>
        <w:pStyle w:val="CompactBullet"/>
      </w:pPr>
      <w:r>
        <w:t>• Optional bilateral visual-attention reset (Reset Sweep), used only as a non-therapeutic focus/regulation drill.</w:t>
      </w:r>
    </w:p>
    <w:p>
      <w:pPr>
        <w:pStyle w:val="CompactBullet"/>
        <w:ind w:left="360" w:hanging="173"/>
      </w:pPr>
      <w:r>
        <w:rPr>
          <w:rFonts w:ascii="Arial" w:hAnsi="Arial"/>
          <w:sz w:val="21"/>
        </w:rPr>
        <w:t>• Breathing and simple intensity regulation.</w:t>
      </w:r>
    </w:p>
    <w:p>
      <w:pPr>
        <w:pStyle w:val="CompactBullet"/>
        <w:ind w:left="360" w:hanging="173"/>
      </w:pPr>
      <w:r>
        <w:rPr>
          <w:rFonts w:ascii="Arial" w:hAnsi="Arial"/>
          <w:sz w:val="21"/>
        </w:rPr>
        <w:t>• Pre-practice and pre-performance routines.</w:t>
      </w:r>
    </w:p>
    <w:p>
      <w:pPr>
        <w:pStyle w:val="CompactBullet"/>
        <w:ind w:left="360" w:hanging="173"/>
      </w:pPr>
      <w:r>
        <w:rPr>
          <w:rFonts w:ascii="Arial" w:hAnsi="Arial"/>
          <w:sz w:val="21"/>
        </w:rPr>
        <w:t>• Imagery and mental rehearsal tied to real wrestling situations.</w:t>
      </w:r>
    </w:p>
    <w:p>
      <w:pPr>
        <w:pStyle w:val="CompactBullet"/>
        <w:ind w:left="360" w:hanging="173"/>
      </w:pPr>
      <w:r>
        <w:rPr>
          <w:rFonts w:ascii="Arial" w:hAnsi="Arial"/>
          <w:sz w:val="21"/>
        </w:rPr>
        <w:t>• If-then plans for predictable adversity.</w:t>
      </w:r>
    </w:p>
    <w:p>
      <w:pPr>
        <w:pStyle w:val="CompactBullet"/>
        <w:ind w:left="360" w:hanging="173"/>
      </w:pPr>
      <w:r>
        <w:rPr>
          <w:rFonts w:ascii="Arial" w:hAnsi="Arial"/>
          <w:sz w:val="21"/>
        </w:rPr>
        <w:t>• Confidence evidence and mastery review.</w:t>
      </w:r>
    </w:p>
    <w:p>
      <w:pPr>
        <w:pStyle w:val="CompactBullet"/>
        <w:ind w:left="360" w:hanging="173"/>
      </w:pPr>
      <w:r>
        <w:rPr>
          <w:rFonts w:ascii="Arial" w:hAnsi="Arial"/>
          <w:sz w:val="21"/>
        </w:rPr>
        <w:t>• Structured reflection: Went Well -&gt; Improve -&gt; Next 1%.</w:t>
      </w:r>
    </w:p>
    <w:p>
      <w:pPr>
        <w:pStyle w:val="CompactBullet"/>
        <w:ind w:left="360" w:hanging="173"/>
      </w:pPr>
      <w:r>
        <w:rPr>
          <w:rFonts w:ascii="Arial" w:hAnsi="Arial"/>
          <w:sz w:val="21"/>
        </w:rPr>
        <w:t>• Sleep/recovery education and habit awareness.</w:t>
      </w:r>
    </w:p>
    <w:p>
      <w:pPr>
        <w:pStyle w:val="CompactBullet"/>
        <w:ind w:left="360" w:hanging="173"/>
      </w:pPr>
      <w:r>
        <w:rPr>
          <w:rFonts w:ascii="Arial" w:hAnsi="Arial"/>
          <w:sz w:val="21"/>
        </w:rPr>
        <w:t>• Team culture, communication, standards, and shared language.</w:t>
      </w:r>
    </w:p>
    <w:p>
      <w:pPr>
        <w:pStyle w:val="Heading2"/>
      </w:pPr>
      <w:r>
        <w:t>5.1 Reset Sweep - bilateral attention performance reset</w:t>
      </w:r>
    </w:p>
    <w:p>
      <w:pPr/>
      <w:r>
        <w:rPr>
          <w:b/>
        </w:rPr>
        <w:t xml:space="preserve">Purpose: </w:t>
      </w:r>
      <w:r>
        <w:t>Give an athlete a short, optional way to settle attention, let go of the previous exchange, and choose the next controllable job. The screen is inspired by the left-right visual tracking used as one component of EMDR, but it is not EMDR and is not presented as therapy.</w:t>
      </w:r>
    </w:p>
    <w:p>
      <w:pPr/>
      <w:r>
        <w:rPr>
          <w:b/>
        </w:rPr>
        <w:t xml:space="preserve">Athlete experience: </w:t>
      </w:r>
      <w:r>
        <w:t>A dot moves smoothly from left to right and back across the phone screen for 20-45 seconds. The athlete keeps her head comfortable, follows the dot with her eyes, breathes normally or uses the team reset breath, and finishes by selecting or repeating her next cue.</w:t>
      </w:r>
    </w:p>
    <w:p>
      <w:pPr/>
      <w:r>
        <w:rPr>
          <w:b/>
        </w:rPr>
        <w:t xml:space="preserve">Suggested on-screen language: </w:t>
      </w:r>
      <w:r>
        <w:t>Eyes on the dot. Easy breath. Let the last exchange go. What is your next job?</w:t>
      </w:r>
    </w:p>
    <w:p>
      <w:pPr/>
      <w:r>
        <w:rPr>
          <w:b/>
        </w:rPr>
        <w:t xml:space="preserve">Where it can appear: </w:t>
      </w:r>
      <w:r>
        <w:t>Before practice, between matches, after an emotionally charged exchange, before imagery, or whenever an athlete voluntarily chooses a brief reset.</w:t>
      </w:r>
    </w:p>
    <w:p>
      <w:pPr/>
      <w:r>
        <w:rPr>
          <w:b/>
        </w:rPr>
        <w:t xml:space="preserve">Hard boundary: </w:t>
      </w:r>
      <w:r>
        <w:t>The screen never asks an athlete to recall trauma, revisit a disturbing memory, disclose upsetting events, rate trauma distress, or process psychological material. It does not claim to treat anxiety, PTSD, trauma, or any mental-health condition.</w:t>
      </w:r>
    </w:p>
    <w:p>
      <w:pPr/>
      <w:r>
        <w:rPr>
          <w:b/>
        </w:rPr>
        <w:t xml:space="preserve">Safety / accessibility: </w:t>
      </w:r>
      <w:r>
        <w:t>A Stop button is always visible. The athlete can skip the exercise entirely. If visual tracking causes discomfort, dizziness, headache, or eye strain, she stops and uses a non-visual reset such as breathing plus a cue word.</w:t>
      </w:r>
    </w:p>
    <w:p>
      <w:pPr/>
      <w:r>
        <w:rPr>
          <w:b/>
        </w:rPr>
        <w:t xml:space="preserve">Data rule: </w:t>
      </w:r>
      <w:r>
        <w:t>Do not store what the athlete was upset about. V1 may record only that the optional reset was opened/completed, and even that is not required for coaching.</w:t>
      </w:r>
    </w:p>
    <w:p>
      <w:pPr/>
      <w:r>
        <w:rPr>
          <w:b/>
        </w:rPr>
        <w:t xml:space="preserve">Evidence boundary: </w:t>
      </w:r>
      <w:r>
        <w:t>EMDR is an evidence-based, multi-phase trauma psychotherapy when delivered as a complete clinical protocol by appropriately trained clinicians. Research continues to debate the exact contribution and mechanism of the bilateral eye-movement component. We are borrowing a simple visual-attention pattern as a performance reset, not reproducing EMDR therapy.</w:t>
      </w:r>
    </w:p>
    <w:p>
      <w:pPr>
        <w:pStyle w:val="Heading2"/>
      </w:pPr>
      <w:r>
        <w:t>Methods deliberately excluded from V1</w:t>
      </w:r>
    </w:p>
    <w:p>
      <w:pPr>
        <w:pStyle w:val="CompactBullet"/>
        <w:ind w:left="360" w:hanging="173"/>
      </w:pPr>
      <w:r>
        <w:rPr>
          <w:rFonts w:ascii="Arial" w:hAnsi="Arial"/>
          <w:sz w:val="21"/>
        </w:rPr>
        <w:t>• Mental-health diagnosis, screening, or treatment.</w:t>
      </w:r>
    </w:p>
    <w:p>
      <w:pPr>
        <w:pStyle w:val="CompactBullet"/>
        <w:ind w:left="360" w:hanging="173"/>
      </w:pPr>
      <w:r>
        <w:rPr>
          <w:rFonts w:ascii="Arial" w:hAnsi="Arial"/>
          <w:sz w:val="21"/>
        </w:rPr>
        <w:t>• Public psychological scores or public Five C ratings.</w:t>
      </w:r>
    </w:p>
    <w:p>
      <w:pPr>
        <w:pStyle w:val="CompactBullet"/>
        <w:ind w:left="360" w:hanging="173"/>
      </w:pPr>
      <w:r>
        <w:rPr>
          <w:rFonts w:ascii="Arial" w:hAnsi="Arial"/>
          <w:sz w:val="21"/>
        </w:rPr>
        <w:t>• Mental toughness rankings.</w:t>
      </w:r>
    </w:p>
    <w:p>
      <w:pPr>
        <w:pStyle w:val="CompactBullet"/>
        <w:ind w:left="360" w:hanging="173"/>
      </w:pPr>
      <w:r>
        <w:rPr>
          <w:rFonts w:ascii="Arial" w:hAnsi="Arial"/>
          <w:sz w:val="21"/>
        </w:rPr>
        <w:t>• Body-weight, calorie, body-composition, or weight-cutting gamification.</w:t>
      </w:r>
    </w:p>
    <w:p>
      <w:pPr>
        <w:pStyle w:val="CompactBullet"/>
        <w:ind w:left="360" w:hanging="173"/>
      </w:pPr>
      <w:r>
        <w:rPr>
          <w:rFonts w:ascii="Arial" w:hAnsi="Arial"/>
          <w:sz w:val="21"/>
        </w:rPr>
        <w:t>• Private AI counseling of athletes.</w:t>
      </w:r>
    </w:p>
    <w:p>
      <w:pPr>
        <w:pStyle w:val="CompactBullet"/>
        <w:ind w:left="360" w:hanging="173"/>
      </w:pPr>
      <w:r>
        <w:rPr>
          <w:rFonts w:ascii="Arial" w:hAnsi="Arial"/>
          <w:sz w:val="21"/>
        </w:rPr>
        <w:t>• Private coach-to-minor direct-message channels.</w:t>
      </w:r>
    </w:p>
    <w:p>
      <w:pPr>
        <w:pStyle w:val="CompactBullet"/>
        <w:ind w:left="360" w:hanging="173"/>
      </w:pPr>
      <w:r>
        <w:rPr>
          <w:rFonts w:ascii="Arial" w:hAnsi="Arial"/>
          <w:sz w:val="21"/>
        </w:rPr>
        <w:t>• Algorithmic risk scores that pretend to diagnose injury, eating issues, anxiety, depression, or burnout.</w:t>
      </w: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EAF3F9"/>
            <w:tcMar>
              <w:top w:w="150" w:type="dxa"/>
              <w:start w:w="170" w:type="dxa"/>
              <w:bottom w:w="150" w:type="dxa"/>
              <w:end w:w="170" w:type="dxa"/>
            </w:tcMar>
          </w:tcPr>
          <w:p>
            <w:pPr>
              <w:widowControl/>
              <w:spacing w:after="60"/>
            </w:pPr>
            <w:r>
              <w:rPr>
                <w:rFonts w:ascii="Arial" w:hAnsi="Arial"/>
                <w:b/>
                <w:color w:val="17324D"/>
                <w:sz w:val="21"/>
              </w:rPr>
              <w:t>Curriculum formula</w:t>
            </w:r>
          </w:p>
          <w:p>
            <w:pPr>
              <w:widowControl/>
              <w:spacing w:after="0" w:line="254" w:lineRule="auto"/>
            </w:pPr>
            <w:r>
              <w:rPr>
                <w:rFonts w:ascii="Arial" w:hAnsi="Arial"/>
                <w:color w:val="1E2730"/>
                <w:sz w:val="20"/>
              </w:rPr>
              <w:t>Explain -&gt; Example -&gt; Practice -&gt; Use in wrestling -&gt; Reflect -&gt; Save what worked -&gt; Repeat under greater pressure.</w:t>
            </w:r>
          </w:p>
        </w:tc>
      </w:tr>
    </w:tbl>
    <w:p>
      <w:pPr>
        <w:spacing w:after="0"/>
      </w:pPr>
    </w:p>
    <w:p>
      <w:pPr>
        <w:pStyle w:val="Heading1"/>
        <w:pageBreakBefore w:val="0"/>
      </w:pPr>
      <w:r>
        <w:t>6. Core Athlete Loop</w:t>
      </w:r>
    </w:p>
    <w:p>
      <w:pPr>
        <w:pStyle w:val="Heading2"/>
      </w:pPr>
      <w:r>
        <w:t>6.1 Before practice - target: under 60 seconds</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uto"/>
          <w:tblHeader w:val="true"/>
          <w:cantSplit/>
        </w:trPr>
        <w:tc>
          <w:tcPr>
            <w:tcW w:type="dxa" w:w="792"/>
            <w:shd w:fill="17324D"/>
            <w:tcMar>
              <w:top w:w="90" w:type="dxa"/>
              <w:start w:w="100" w:type="dxa"/>
              <w:bottom w:w="90" w:type="dxa"/>
              <w:end w:w="100" w:type="dxa"/>
            </w:tcMar>
            <w:vAlign w:val="center"/>
          </w:tcPr>
          <w:p>
            <w:pPr>
              <w:widowControl/>
              <w:jc w:val="left"/>
            </w:pPr>
            <w:r>
              <w:rPr>
                <w:rFonts w:ascii="Arial" w:hAnsi="Arial"/>
                <w:b/>
                <w:color w:val="FFFFFF"/>
                <w:sz w:val="18"/>
              </w:rPr>
              <w:t>Step</w:t>
            </w:r>
          </w:p>
        </w:tc>
        <w:tc>
          <w:tcPr>
            <w:tcW w:type="dxa" w:w="5472"/>
            <w:shd w:fill="17324D"/>
            <w:tcMar>
              <w:top w:w="90" w:type="dxa"/>
              <w:start w:w="100" w:type="dxa"/>
              <w:bottom w:w="90" w:type="dxa"/>
              <w:end w:w="100" w:type="dxa"/>
            </w:tcMar>
            <w:vAlign w:val="center"/>
          </w:tcPr>
          <w:p>
            <w:pPr>
              <w:widowControl/>
              <w:jc w:val="left"/>
            </w:pPr>
            <w:r>
              <w:rPr>
                <w:rFonts w:ascii="Arial" w:hAnsi="Arial"/>
                <w:b/>
                <w:color w:val="FFFFFF"/>
                <w:sz w:val="18"/>
              </w:rPr>
              <w:t>Athlete action</w:t>
            </w:r>
          </w:p>
        </w:tc>
        <w:tc>
          <w:tcPr>
            <w:tcW w:type="dxa" w:w="3528"/>
            <w:shd w:fill="17324D"/>
            <w:tcMar>
              <w:top w:w="90" w:type="dxa"/>
              <w:start w:w="100" w:type="dxa"/>
              <w:bottom w:w="90" w:type="dxa"/>
              <w:end w:w="100" w:type="dxa"/>
            </w:tcMar>
            <w:vAlign w:val="center"/>
          </w:tcPr>
          <w:p>
            <w:pPr>
              <w:widowControl/>
              <w:jc w:val="left"/>
            </w:pPr>
            <w:r>
              <w:rPr>
                <w:rFonts w:ascii="Arial" w:hAnsi="Arial"/>
                <w:b/>
                <w:color w:val="FFFFFF"/>
                <w:sz w:val="18"/>
              </w:rPr>
              <w:t>Output</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1</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See today's team theme / lesson</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Context</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2</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Choose Today's 1% from examples or write her own</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Team-visible practice focus</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3</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Choose a Pillar if useful</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team-visible cue</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4</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Answer "How will I show up?"</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Short personal intention</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5</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Five Cs tap-through</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baseline</w:t>
            </w:r>
          </w:p>
        </w:tc>
      </w:tr>
      <w:tr>
        <w:trPr>
          <w:cantSplit/>
          <w:trHeight w:hRule="auto"/>
        </w:trPr>
        <w:tc>
          <w:tcPr>
            <w:tcW w:type="dxa" w:w="7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6</w:t>
            </w:r>
          </w:p>
        </w:tc>
        <w:tc>
          <w:tcPr>
            <w:tcW w:type="dxa" w:w="547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the short reset/breath routine when assigned</w:t>
            </w:r>
          </w:p>
        </w:tc>
        <w:tc>
          <w:tcPr>
            <w:tcW w:type="dxa" w:w="35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Practiced regulation skill</w:t>
            </w:r>
          </w:p>
        </w:tc>
      </w:tr>
    </w:tbl>
    <w:p>
      <w:pPr>
        <w:spacing w:after="20"/>
      </w:pPr>
    </w:p>
    <w:p>
      <w:pPr>
        <w:pStyle w:val="Heading2"/>
      </w:pPr>
      <w:r>
        <w:t>6.2 During practice</w:t>
      </w:r>
    </w:p>
    <w:p>
      <w:pPr>
        <w:widowControl/>
        <w:spacing w:after="80" w:before="0" w:line="259" w:lineRule="auto"/>
      </w:pPr>
      <w:r>
        <w:rPr>
          <w:rFonts w:ascii="Arial" w:hAnsi="Arial"/>
          <w:i w:val="0"/>
          <w:color w:val="1E2730"/>
        </w:rPr>
        <w:t>The app largely disappears. The athlete's Today's 1% is already on the Practice Board. Coaches use it in real time. The software has done its job if it changes a coaching interaction or an athlete's attention during a rep.</w:t>
      </w:r>
    </w:p>
    <w:p>
      <w:pPr>
        <w:pStyle w:val="Heading2"/>
      </w:pPr>
      <w:r>
        <w:t>6.3 After practice - target: 60-90 seconds</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3024"/>
            <w:shd w:fill="17324D"/>
            <w:tcMar>
              <w:top w:w="90" w:type="dxa"/>
              <w:start w:w="100" w:type="dxa"/>
              <w:bottom w:w="90" w:type="dxa"/>
              <w:end w:w="100" w:type="dxa"/>
            </w:tcMar>
            <w:vAlign w:val="center"/>
          </w:tcPr>
          <w:p>
            <w:pPr>
              <w:widowControl/>
              <w:jc w:val="left"/>
            </w:pPr>
            <w:r>
              <w:rPr>
                <w:rFonts w:ascii="Arial" w:hAnsi="Arial"/>
                <w:b/>
                <w:color w:val="FFFFFF"/>
                <w:sz w:val="18"/>
              </w:rPr>
              <w:t>Prompt</w:t>
            </w:r>
          </w:p>
        </w:tc>
        <w:tc>
          <w:tcPr>
            <w:tcW w:type="dxa" w:w="6768"/>
            <w:shd w:fill="17324D"/>
            <w:tcMar>
              <w:top w:w="90" w:type="dxa"/>
              <w:start w:w="100" w:type="dxa"/>
              <w:bottom w:w="90" w:type="dxa"/>
              <w:end w:w="100" w:type="dxa"/>
            </w:tcMar>
            <w:vAlign w:val="center"/>
          </w:tcPr>
          <w:p>
            <w:pPr>
              <w:widowControl/>
              <w:jc w:val="left"/>
            </w:pPr>
            <w:r>
              <w:rPr>
                <w:rFonts w:ascii="Arial" w:hAnsi="Arial"/>
                <w:b/>
                <w:color w:val="FFFFFF"/>
                <w:sz w:val="18"/>
              </w:rPr>
              <w:t>Purpose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Did I intentionally work on my 1%?</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Connect intent to behavior; yes / partly / not yet</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Went Well</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Find evidence of progress or a useful response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Improve</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Name one next adjustment without turning reflection into self-criticism</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Five Cs</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Notice changes in commitment, courage, concentration, control, confidence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Confidence evidence</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save when the athlete has proof worth remembering</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Gratitude</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Optional/light-touch perspective prompt, not a forced essay</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Tomorrow / next practice</w:t>
            </w:r>
          </w:p>
        </w:tc>
        <w:tc>
          <w:tcPr>
            <w:tcW w:type="dxa" w:w="676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Carry forward or replace the focus</w:t>
            </w:r>
          </w:p>
        </w:tc>
      </w:tr>
    </w:tbl>
    <w:p>
      <w:pPr>
        <w:spacing w:after="20"/>
      </w:pPr>
    </w:p>
    <w:p>
      <w:pPr>
        <w:pStyle w:val="Heading2"/>
      </w:pPr>
      <w:r>
        <w:t>6.4 The loop</w:t>
      </w: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EAF4EC"/>
            <w:tcMar>
              <w:top w:w="150" w:type="dxa"/>
              <w:start w:w="170" w:type="dxa"/>
              <w:bottom w:w="150" w:type="dxa"/>
              <w:end w:w="170" w:type="dxa"/>
            </w:tcMar>
          </w:tcPr>
          <w:p>
            <w:pPr>
              <w:widowControl/>
              <w:spacing w:after="60"/>
            </w:pPr>
            <w:r>
              <w:rPr>
                <w:rFonts w:ascii="Arial" w:hAnsi="Arial"/>
                <w:b/>
                <w:color w:val="17324D"/>
                <w:sz w:val="21"/>
              </w:rPr>
              <w:t>Daily development loop</w:t>
            </w:r>
          </w:p>
          <w:p>
            <w:pPr>
              <w:widowControl/>
              <w:spacing w:after="0" w:line="254" w:lineRule="auto"/>
            </w:pPr>
            <w:r>
              <w:rPr>
                <w:rFonts w:ascii="Arial" w:hAnsi="Arial"/>
                <w:color w:val="1E2730"/>
                <w:sz w:val="20"/>
              </w:rPr>
              <w:t>Choose one controllable focus -&gt; make it visible -&gt; practice it -&gt; receive coaching -&gt; reflect on evidence -&gt; decide the next adjustment.</w:t>
            </w:r>
          </w:p>
        </w:tc>
      </w:tr>
    </w:tbl>
    <w:p>
      <w:pPr>
        <w:spacing w:after="0"/>
      </w:pPr>
    </w:p>
    <w:p>
      <w:pPr>
        <w:pStyle w:val="Heading1"/>
        <w:pageBreakBefore w:val="0"/>
      </w:pPr>
      <w:r>
        <w:t>7. Goal System</w:t>
      </w:r>
    </w:p>
    <w:p>
      <w:pPr>
        <w:widowControl/>
        <w:spacing w:after="80" w:before="0" w:line="259" w:lineRule="auto"/>
      </w:pPr>
      <w:r>
        <w:rPr>
          <w:rFonts w:ascii="Arial" w:hAnsi="Arial"/>
          <w:i w:val="0"/>
          <w:color w:val="1E2730"/>
        </w:rPr>
        <w:t>The app should distinguish direction from execution. Girls can care deeply about winning and postseason goals while learning that the most useful daily target is usually a process behavior they can control.</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uto"/>
          <w:tblHeader w:val="true"/>
          <w:cantSplit/>
        </w:trPr>
        <w:tc>
          <w:tcPr>
            <w:tcW w:type="dxa" w:w="1944"/>
            <w:shd w:fill="17324D"/>
            <w:tcMar>
              <w:top w:w="90" w:type="dxa"/>
              <w:start w:w="100" w:type="dxa"/>
              <w:bottom w:w="90" w:type="dxa"/>
              <w:end w:w="100" w:type="dxa"/>
            </w:tcMar>
            <w:vAlign w:val="center"/>
          </w:tcPr>
          <w:p>
            <w:pPr>
              <w:widowControl/>
              <w:jc w:val="left"/>
            </w:pPr>
            <w:r>
              <w:rPr>
                <w:rFonts w:ascii="Arial" w:hAnsi="Arial"/>
                <w:b/>
                <w:color w:val="FFFFFF"/>
                <w:sz w:val="18"/>
              </w:rPr>
              <w:t>Level</w:t>
            </w:r>
          </w:p>
        </w:tc>
        <w:tc>
          <w:tcPr>
            <w:tcW w:type="dxa" w:w="3311"/>
            <w:shd w:fill="17324D"/>
            <w:tcMar>
              <w:top w:w="90" w:type="dxa"/>
              <w:start w:w="100" w:type="dxa"/>
              <w:bottom w:w="90" w:type="dxa"/>
              <w:end w:w="100" w:type="dxa"/>
            </w:tcMar>
            <w:vAlign w:val="center"/>
          </w:tcPr>
          <w:p>
            <w:pPr>
              <w:widowControl/>
              <w:jc w:val="left"/>
            </w:pPr>
            <w:r>
              <w:rPr>
                <w:rFonts w:ascii="Arial" w:hAnsi="Arial"/>
                <w:b/>
                <w:color w:val="FFFFFF"/>
                <w:sz w:val="18"/>
              </w:rPr>
              <w:t>Question</w:t>
            </w:r>
          </w:p>
        </w:tc>
        <w:tc>
          <w:tcPr>
            <w:tcW w:type="dxa" w:w="4536"/>
            <w:shd w:fill="17324D"/>
            <w:tcMar>
              <w:top w:w="90" w:type="dxa"/>
              <w:start w:w="100" w:type="dxa"/>
              <w:bottom w:w="90" w:type="dxa"/>
              <w:end w:w="100" w:type="dxa"/>
            </w:tcMar>
            <w:vAlign w:val="center"/>
          </w:tcPr>
          <w:p>
            <w:pPr>
              <w:widowControl/>
              <w:jc w:val="left"/>
            </w:pPr>
            <w:r>
              <w:rPr>
                <w:rFonts w:ascii="Arial" w:hAnsi="Arial"/>
                <w:b/>
                <w:color w:val="FFFFFF"/>
                <w:sz w:val="18"/>
              </w:rPr>
              <w:t>Example</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Season outcome</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Where do I want to go?</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Qualify for the postseason; contribute to team goals; improve competitive results</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Performance standard</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What performance must improve?</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Create more quality attacks; escape faster; maintain better position late in matches</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Development block</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What am I building over the next several weeks?</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First contact and setups; bottom urgency; staying composed after scoring changes</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Weekly focus</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What is this week about?</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Be first to contact in every live go</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Today's 1%</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What can I execute in this practice?</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Good stance through the whole go; reset after every whistle; attack after my setup</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Evidence</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How will I know I practiced it?</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 intentionally did it in drilling/live; coach noticed it; I can name what changed</w:t>
            </w:r>
          </w:p>
        </w:tc>
      </w:tr>
      <w:tr>
        <w:trPr>
          <w:cantSplit/>
          <w:trHeight w:hRule="auto"/>
        </w:trPr>
        <w:tc>
          <w:tcPr>
            <w:tcW w:type="dxa" w:w="1944"/>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Adjustment</w:t>
            </w:r>
          </w:p>
        </w:tc>
        <w:tc>
          <w:tcPr>
            <w:tcW w:type="dxa" w:w="3311"/>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What is next?</w:t>
            </w:r>
          </w:p>
        </w:tc>
        <w:tc>
          <w:tcPr>
            <w:tcW w:type="dxa" w:w="4536"/>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Keep it, narrow it, increase difficulty, or choose the next focus</w:t>
            </w:r>
          </w:p>
        </w:tc>
      </w:tr>
    </w:tbl>
    <w:p>
      <w:pPr>
        <w:spacing w:after="20"/>
      </w:pPr>
    </w:p>
    <w:p>
      <w:pPr>
        <w:pStyle w:val="Heading2"/>
      </w:pPr>
      <w:r>
        <w:t>Goal-writing rules</w:t>
      </w:r>
    </w:p>
    <w:p>
      <w:pPr>
        <w:pStyle w:val="CompactBullet"/>
        <w:ind w:left="360" w:hanging="173"/>
      </w:pPr>
      <w:r>
        <w:rPr>
          <w:rFonts w:ascii="Arial" w:hAnsi="Arial"/>
          <w:sz w:val="21"/>
        </w:rPr>
        <w:t>• Prefer behaviors the athlete can execute over outcomes she cannot fully control.</w:t>
      </w:r>
    </w:p>
    <w:p>
      <w:pPr>
        <w:pStyle w:val="CompactBullet"/>
        <w:ind w:left="360" w:hanging="173"/>
      </w:pPr>
      <w:r>
        <w:rPr>
          <w:rFonts w:ascii="Arial" w:hAnsi="Arial"/>
          <w:sz w:val="21"/>
        </w:rPr>
        <w:t>• Make the goal small enough to remember during wrestling.</w:t>
      </w:r>
    </w:p>
    <w:p>
      <w:pPr>
        <w:pStyle w:val="CompactBullet"/>
        <w:ind w:left="360" w:hanging="173"/>
      </w:pPr>
      <w:r>
        <w:rPr>
          <w:rFonts w:ascii="Arial" w:hAnsi="Arial"/>
          <w:sz w:val="21"/>
        </w:rPr>
        <w:t>• One primary 1% goal per practice. Avoid a checklist of six things competing for attention.</w:t>
      </w:r>
    </w:p>
    <w:p>
      <w:pPr>
        <w:pStyle w:val="CompactBullet"/>
        <w:ind w:left="360" w:hanging="173"/>
      </w:pPr>
      <w:r>
        <w:rPr>
          <w:rFonts w:ascii="Arial" w:hAnsi="Arial"/>
          <w:sz w:val="21"/>
        </w:rPr>
        <w:t>• Allow athletes to repeat the same focus across multiple practices when repetition is the point.</w:t>
      </w:r>
    </w:p>
    <w:p>
      <w:pPr>
        <w:pStyle w:val="CompactBullet"/>
        <w:ind w:left="360" w:hanging="173"/>
      </w:pPr>
      <w:r>
        <w:rPr>
          <w:rFonts w:ascii="Arial" w:hAnsi="Arial"/>
          <w:sz w:val="21"/>
        </w:rPr>
        <w:t>• Examples should teach what a useful goal looks like, then encourage athlete-created goals.</w:t>
      </w:r>
    </w:p>
    <w:p>
      <w:pPr>
        <w:pStyle w:val="CompactBullet"/>
        <w:ind w:left="360" w:hanging="173"/>
      </w:pPr>
      <w:r>
        <w:rPr>
          <w:rFonts w:ascii="Arial" w:hAnsi="Arial"/>
          <w:sz w:val="21"/>
        </w:rPr>
        <w:t>• Coach-assigned team themes can coexist with individual 1% goals.</w:t>
      </w:r>
    </w:p>
    <w:p>
      <w:pPr>
        <w:pStyle w:val="Heading1"/>
        <w:pageBreakBefore w:val="0"/>
      </w:pPr>
      <w:r>
        <w:t>8. YOU University - Season Curriculum</w:t>
      </w:r>
    </w:p>
    <w:p>
      <w:pPr>
        <w:widowControl/>
        <w:spacing w:after="80" w:before="0" w:line="259" w:lineRule="auto"/>
      </w:pPr>
      <w:r>
        <w:rPr>
          <w:rFonts w:ascii="Arial" w:hAnsi="Arial"/>
          <w:i w:val="0"/>
          <w:color w:val="1E2730"/>
        </w:rPr>
        <w:t>YOU University is the instructional layer. Lessons should be short enough to complete on a phone, but every lesson must produce a behavior that gets practiced in wrestling. The sequence below is the working full-season plan; it can be compressed or stretched to match the actual season.</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rHeight w:hRule="auto"/>
          <w:tblHeader w:val="true"/>
          <w:cantSplit/>
        </w:trPr>
        <w:tc>
          <w:tcPr>
            <w:tcW w:type="dxa" w:w="648"/>
            <w:shd w:fill="17324D"/>
            <w:tcMar>
              <w:top w:w="90" w:type="dxa"/>
              <w:start w:w="100" w:type="dxa"/>
              <w:bottom w:w="90" w:type="dxa"/>
              <w:end w:w="100" w:type="dxa"/>
            </w:tcMar>
            <w:vAlign w:val="center"/>
          </w:tcPr>
          <w:p>
            <w:pPr>
              <w:widowControl/>
              <w:jc w:val="left"/>
            </w:pPr>
            <w:r>
              <w:rPr>
                <w:rFonts w:ascii="Arial" w:hAnsi="Arial"/>
                <w:b/>
                <w:color w:val="FFFFFF"/>
                <w:sz w:val="18"/>
              </w:rPr>
              <w:t>Week</w:t>
            </w:r>
          </w:p>
        </w:tc>
        <w:tc>
          <w:tcPr>
            <w:tcW w:type="dxa" w:w="2088"/>
            <w:shd w:fill="17324D"/>
            <w:tcMar>
              <w:top w:w="90" w:type="dxa"/>
              <w:start w:w="100" w:type="dxa"/>
              <w:bottom w:w="90" w:type="dxa"/>
              <w:end w:w="100" w:type="dxa"/>
            </w:tcMar>
            <w:vAlign w:val="center"/>
          </w:tcPr>
          <w:p>
            <w:pPr>
              <w:widowControl/>
              <w:jc w:val="left"/>
            </w:pPr>
            <w:r>
              <w:rPr>
                <w:rFonts w:ascii="Arial" w:hAnsi="Arial"/>
                <w:b/>
                <w:color w:val="FFFFFF"/>
                <w:sz w:val="18"/>
              </w:rPr>
              <w:t>Topic</w:t>
            </w:r>
          </w:p>
        </w:tc>
        <w:tc>
          <w:tcPr>
            <w:tcW w:type="dxa" w:w="3888"/>
            <w:shd w:fill="17324D"/>
            <w:tcMar>
              <w:top w:w="90" w:type="dxa"/>
              <w:start w:w="100" w:type="dxa"/>
              <w:bottom w:w="90" w:type="dxa"/>
              <w:end w:w="100" w:type="dxa"/>
            </w:tcMar>
            <w:vAlign w:val="center"/>
          </w:tcPr>
          <w:p>
            <w:pPr>
              <w:widowControl/>
              <w:jc w:val="left"/>
            </w:pPr>
            <w:r>
              <w:rPr>
                <w:rFonts w:ascii="Arial" w:hAnsi="Arial"/>
                <w:b/>
                <w:color w:val="FFFFFF"/>
                <w:sz w:val="18"/>
              </w:rPr>
              <w:t>Teach</w:t>
            </w:r>
          </w:p>
        </w:tc>
        <w:tc>
          <w:tcPr>
            <w:tcW w:type="dxa" w:w="3168"/>
            <w:shd w:fill="17324D"/>
            <w:tcMar>
              <w:top w:w="90" w:type="dxa"/>
              <w:start w:w="100" w:type="dxa"/>
              <w:bottom w:w="90" w:type="dxa"/>
              <w:end w:w="100" w:type="dxa"/>
            </w:tcMar>
            <w:vAlign w:val="center"/>
          </w:tcPr>
          <w:p>
            <w:pPr>
              <w:widowControl/>
              <w:jc w:val="left"/>
            </w:pPr>
            <w:r>
              <w:rPr>
                <w:rFonts w:ascii="Arial" w:hAnsi="Arial"/>
                <w:b/>
                <w:color w:val="FFFFFF"/>
                <w:sz w:val="18"/>
              </w:rPr>
              <w:t>Use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0</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Welcome: Why train the mental game?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Mental skills are trainable; app privacy; how 1% works</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Choose first 1% and first Pillar</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Controllables</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Outcome vs. process; controllable response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Write a process goal for practice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2</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Pillars in action</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Persistent, Consistent, Resilient, Relentless, Respectful as behaviors</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Choose one Pillar and show it in practice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3</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Five Cs awareness</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Commitment, Courage, Concentration, Control, Confidence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Pre/post rating + one observation</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4</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Attention and focus</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What deserves attention before, during, after a rep</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Build one short focus cue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5</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Reset</w:t>
            </w:r>
          </w:p>
        </w:tc>
        <w:tc>
          <w:tcPr>
            <w:tcW w:type="dxa" w:w="3888"/>
            <w:tcMar>
              <w:top w:w="85" w:type="dxa"/>
              <w:start w:w="100" w:type="dxa"/>
              <w:bottom w:w="85" w:type="dxa"/>
              <w:end w:w="100" w:type="dxa"/>
            </w:tcMar>
            <w:vAlign w:val="center"/>
            <w:shd w:fill="FFFFFF"/>
          </w:tcPr>
          <w:p>
            <w:r>
              <w:t>Breathing, posture, cue, next action, and optional Reset Sweep as a brief attention-regulation drill</w:t>
            </w:r>
          </w:p>
        </w:tc>
        <w:tc>
          <w:tcPr>
            <w:tcW w:type="dxa" w:w="3168"/>
            <w:tcMar>
              <w:top w:w="85" w:type="dxa"/>
              <w:start w:w="100" w:type="dxa"/>
              <w:bottom w:w="85" w:type="dxa"/>
              <w:end w:w="100" w:type="dxa"/>
            </w:tcMar>
            <w:vAlign w:val="center"/>
            <w:shd w:fill="FFFFFF"/>
          </w:tcPr>
          <w:p>
            <w:r>
              <w:t>Practice a 4-4-4-4 reset; optionally test Reset Sweep and decide whether it helps attention return to the next job</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6</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Self-talk that helps</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Instructional cue vs. unhelpful internal story</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Replace one vague thought with a useful cue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7</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Confidence Bank</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Confidence from preparation, mastery, response, feedback, evidence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Save three pieces of real evidence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8</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Imagery</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Rehearse a real skill or situation with useful detail</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Complete short wrestling-specific rehearsal</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9</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My routine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Repeatable pre-performance sequence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Build and test a simple pre-match routine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10</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Adversity plans</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Expect challenge; use if-then responses</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Create three if-then plans</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11</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Competing on purpose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First job, cue, routine, reset, between-period plan</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Create competition card</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12</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Recovery is training</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Sleep, downshift, recovery habits, no shame scoring</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Choose one recovery behavior to improve</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13</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Learn from performance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Went Well, Improve, evidence, next 1%</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Complete a useful match review</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14</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Team culture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Shared standards, communication, helping teammates improve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Recognize a teammate for a program behavior</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15</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Pressure practice</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Use routine and reset while the training environment gets harder</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Execute routine under a coach-created pressure scenario</w:t>
            </w:r>
          </w:p>
        </w:tc>
      </w:tr>
      <w:tr>
        <w:trPr>
          <w:cantSplit/>
          <w:trHeight w:hRule="auto"/>
        </w:trPr>
        <w:tc>
          <w:tcPr>
            <w:tcW w:type="dxa" w:w="64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16</w:t>
            </w:r>
          </w:p>
        </w:tc>
        <w:tc>
          <w:tcPr>
            <w:tcW w:type="dxa" w:w="20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My performance manual</w:t>
            </w:r>
          </w:p>
        </w:tc>
        <w:tc>
          <w:tcPr>
            <w:tcW w:type="dxa" w:w="388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What I learned works for me</w:t>
            </w:r>
          </w:p>
        </w:tc>
        <w:tc>
          <w:tcPr>
            <w:tcW w:type="dxa" w:w="3168"/>
            <w:tcMar>
              <w:top w:w="85" w:type="dxa"/>
              <w:start w:w="100" w:type="dxa"/>
              <w:bottom w:w="85" w:type="dxa"/>
              <w:end w:w="100" w:type="dxa"/>
            </w:tcMar>
            <w:vAlign w:val="center"/>
            <w:shd w:fill="FFFFFF"/>
          </w:tcPr>
          <w:p>
            <w:pPr>
              <w:widowControl/>
              <w:spacing w:after="0" w:line="245" w:lineRule="auto"/>
            </w:pPr>
            <w:r>
              <w:rPr>
                <w:rFonts w:ascii="Arial" w:hAnsi="Arial"/>
                <w:color w:val="1E2730"/>
                <w:sz w:val="16"/>
              </w:rPr>
              <w:t>Create season summary and next-season starting plan</w:t>
            </w:r>
          </w:p>
        </w:tc>
      </w:tr>
    </w:tbl>
    <w:p>
      <w:pPr>
        <w:spacing w:after="20"/>
      </w:pPr>
    </w:p>
    <w:p>
      <w:pPr>
        <w:pStyle w:val="Heading2"/>
      </w:pPr>
      <w:r>
        <w:t>Lesson format</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1800"/>
            <w:shd w:fill="17324D"/>
            <w:tcMar>
              <w:top w:w="90" w:type="dxa"/>
              <w:start w:w="100" w:type="dxa"/>
              <w:bottom w:w="90" w:type="dxa"/>
              <w:end w:w="100" w:type="dxa"/>
            </w:tcMar>
            <w:vAlign w:val="center"/>
          </w:tcPr>
          <w:p>
            <w:pPr>
              <w:widowControl/>
              <w:jc w:val="left"/>
            </w:pPr>
            <w:r>
              <w:rPr>
                <w:rFonts w:ascii="Arial" w:hAnsi="Arial"/>
                <w:b/>
                <w:color w:val="FFFFFF"/>
                <w:sz w:val="18"/>
              </w:rPr>
              <w:t>Block</w:t>
            </w:r>
          </w:p>
        </w:tc>
        <w:tc>
          <w:tcPr>
            <w:tcW w:type="dxa" w:w="7992"/>
            <w:shd w:fill="17324D"/>
            <w:tcMar>
              <w:top w:w="90" w:type="dxa"/>
              <w:start w:w="100" w:type="dxa"/>
              <w:bottom w:w="90" w:type="dxa"/>
              <w:end w:w="100" w:type="dxa"/>
            </w:tcMar>
            <w:vAlign w:val="center"/>
          </w:tcPr>
          <w:p>
            <w:pPr>
              <w:widowControl/>
              <w:jc w:val="left"/>
            </w:pPr>
            <w:r>
              <w:rPr>
                <w:rFonts w:ascii="Arial" w:hAnsi="Arial"/>
                <w:b/>
                <w:color w:val="FFFFFF"/>
                <w:sz w:val="18"/>
              </w:rPr>
              <w:t>Target</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Why it matters</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1 short paragraph or 30-60 second coach video</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What it looks like</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2-4 Merrill-relevant examples</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Try it</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One small exercise immediately usable in practice</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it</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Instruction for the next practice or competition</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Reflect</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One prompt that asks what actually happened</w:t>
            </w:r>
          </w:p>
        </w:tc>
      </w:tr>
      <w:tr>
        <w:trPr>
          <w:cantSplit/>
          <w:trHeight w:hRule="auto"/>
        </w:trPr>
        <w:tc>
          <w:tcPr>
            <w:tcW w:type="dxa" w:w="180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Keep it</w:t>
            </w:r>
          </w:p>
        </w:tc>
        <w:tc>
          <w:tcPr>
            <w:tcW w:type="dxa" w:w="799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Save useful cue/routine/evidence to the athlete's personal toolkit</w:t>
            </w:r>
          </w:p>
        </w:tc>
      </w:tr>
    </w:tbl>
    <w:p>
      <w:pPr>
        <w:spacing w:after="20"/>
      </w:pPr>
    </w:p>
    <w:p>
      <w:pPr>
        <w:pStyle w:val="Heading1"/>
        <w:pageBreakBefore w:val="0"/>
      </w:pPr>
      <w:r>
        <w:t>9. Competition Mode</w:t>
      </w:r>
    </w:p>
    <w:p>
      <w:pPr>
        <w:widowControl/>
        <w:spacing w:after="80" w:before="0" w:line="259" w:lineRule="auto"/>
      </w:pPr>
      <w:r>
        <w:rPr>
          <w:rFonts w:ascii="Arial" w:hAnsi="Arial"/>
          <w:i w:val="0"/>
          <w:color w:val="1E2730"/>
        </w:rPr>
        <w:t>Competition Mode should reduce cognitive clutter. It is not a second dashboard. It should help an athlete remember the plan she already practiced.</w:t>
      </w:r>
    </w:p>
    <w:p>
      <w:pPr>
        <w:pStyle w:val="Heading2"/>
      </w:pPr>
      <w:r>
        <w:t>9.1 My competition card</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664"/>
            <w:shd w:fill="17324D"/>
            <w:tcMar>
              <w:top w:w="90" w:type="dxa"/>
              <w:start w:w="100" w:type="dxa"/>
              <w:bottom w:w="90" w:type="dxa"/>
              <w:end w:w="100" w:type="dxa"/>
            </w:tcMar>
            <w:vAlign w:val="center"/>
          </w:tcPr>
          <w:p>
            <w:pPr>
              <w:widowControl/>
              <w:jc w:val="left"/>
            </w:pPr>
            <w:r>
              <w:rPr>
                <w:rFonts w:ascii="Arial" w:hAnsi="Arial"/>
                <w:b/>
                <w:color w:val="FFFFFF"/>
                <w:sz w:val="18"/>
              </w:rPr>
              <w:t>Field</w:t>
            </w:r>
          </w:p>
        </w:tc>
        <w:tc>
          <w:tcPr>
            <w:tcW w:type="dxa" w:w="7128"/>
            <w:shd w:fill="17324D"/>
            <w:tcMar>
              <w:top w:w="90" w:type="dxa"/>
              <w:start w:w="100" w:type="dxa"/>
              <w:bottom w:w="90" w:type="dxa"/>
              <w:end w:w="100" w:type="dxa"/>
            </w:tcMar>
            <w:vAlign w:val="center"/>
          </w:tcPr>
          <w:p>
            <w:pPr>
              <w:widowControl/>
              <w:jc w:val="left"/>
            </w:pPr>
            <w:r>
              <w:rPr>
                <w:rFonts w:ascii="Arial" w:hAnsi="Arial"/>
                <w:b/>
                <w:color w:val="FFFFFF"/>
                <w:sz w:val="18"/>
              </w:rPr>
              <w:t>Example / function</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My Pillar</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Resilient</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My first job</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Win first contact / execute the first controllable action</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My cue</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Short phrase the athlete already uses in practice</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My routine</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Move -&gt; breathe -&gt; cue -&gt; stance -&gt; first job</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If I give up first points</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Breathe -&gt; center -&gt; next exchange</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If I feel rushed</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Slow the exhale -&gt; find stance -&gt; one job</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Between periods</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 instruction -&gt; one cue -&gt; next start</w:t>
            </w:r>
          </w:p>
        </w:tc>
      </w:tr>
      <w:tr>
        <w:trPr>
          <w:cantSplit/>
          <w:trHeight w:hRule="auto"/>
        </w:trPr>
        <w:tc>
          <w:tcPr>
            <w:tcW w:type="dxa" w:w="266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Between matches</w:t>
            </w:r>
          </w:p>
        </w:tc>
        <w:tc>
          <w:tcPr>
            <w:tcW w:type="dxa" w:w="712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Recover -&gt; review one lesson -&gt; reset -&gt; next plan</w:t>
            </w:r>
          </w:p>
        </w:tc>
      </w:tr>
    </w:tbl>
    <w:p>
      <w:pPr>
        <w:spacing w:after="20"/>
      </w:pPr>
    </w:p>
    <w:p>
      <w:pPr>
        <w:pStyle w:val="Heading2"/>
      </w:pPr>
      <w:r>
        <w:t>9.2 Post-match reflection</w:t>
      </w:r>
    </w:p>
    <w:p>
      <w:pPr>
        <w:pStyle w:val="CompactBullet"/>
        <w:ind w:left="360" w:hanging="173"/>
      </w:pPr>
      <w:r>
        <w:rPr>
          <w:rFonts w:ascii="Arial" w:hAnsi="Arial"/>
          <w:sz w:val="21"/>
        </w:rPr>
        <w:t>• What was the plan?</w:t>
      </w:r>
    </w:p>
    <w:p>
      <w:pPr>
        <w:pStyle w:val="CompactBullet"/>
        <w:ind w:left="360" w:hanging="173"/>
      </w:pPr>
      <w:r>
        <w:rPr>
          <w:rFonts w:ascii="Arial" w:hAnsi="Arial"/>
          <w:sz w:val="21"/>
        </w:rPr>
        <w:t>• What did I actually do?</w:t>
      </w:r>
    </w:p>
    <w:p>
      <w:pPr>
        <w:pStyle w:val="CompactBullet"/>
        <w:ind w:left="360" w:hanging="173"/>
      </w:pPr>
      <w:r>
        <w:rPr>
          <w:rFonts w:ascii="Arial" w:hAnsi="Arial"/>
          <w:sz w:val="21"/>
        </w:rPr>
        <w:t>• What went well?</w:t>
      </w:r>
    </w:p>
    <w:p>
      <w:pPr>
        <w:pStyle w:val="CompactBullet"/>
        <w:ind w:left="360" w:hanging="173"/>
      </w:pPr>
      <w:r>
        <w:rPr>
          <w:rFonts w:ascii="Arial" w:hAnsi="Arial"/>
          <w:sz w:val="21"/>
        </w:rPr>
        <w:t>• What needs one adjustment?</w:t>
      </w:r>
    </w:p>
    <w:p>
      <w:pPr>
        <w:pStyle w:val="CompactBullet"/>
        <w:ind w:left="360" w:hanging="173"/>
      </w:pPr>
      <w:r>
        <w:rPr>
          <w:rFonts w:ascii="Arial" w:hAnsi="Arial"/>
          <w:sz w:val="21"/>
        </w:rPr>
        <w:t>• What evidence belongs in my Confidence Bank?</w:t>
      </w:r>
    </w:p>
    <w:p>
      <w:pPr>
        <w:pStyle w:val="CompactBullet"/>
        <w:ind w:left="360" w:hanging="173"/>
      </w:pPr>
      <w:r>
        <w:rPr>
          <w:rFonts w:ascii="Arial" w:hAnsi="Arial"/>
          <w:sz w:val="21"/>
        </w:rPr>
        <w:t>• What becomes my next 1%?</w:t>
      </w:r>
    </w:p>
    <w:p>
      <w:pPr>
        <w:pStyle w:val="SmallNote"/>
        <w:widowControl/>
        <w:spacing w:after="60" w:before="0" w:line="259" w:lineRule="auto"/>
      </w:pPr>
      <w:r>
        <w:rPr>
          <w:rFonts w:ascii="Arial" w:hAnsi="Arial"/>
          <w:i w:val="0"/>
          <w:color w:val="60717F"/>
        </w:rPr>
        <w:t>Do not make win/loss the first or only reflection field. Record the result when useful, but teach the athlete to extract performance information from both wins and losses.</w:t>
      </w:r>
    </w:p>
    <w:p>
      <w:pPr>
        <w:pStyle w:val="Heading1"/>
        <w:pageBreakBefore w:val="0"/>
      </w:pPr>
      <w:r>
        <w:t>10. Practice Board</w:t>
      </w:r>
    </w:p>
    <w:tbl>
      <w:tblPr>
        <w:tblW w:type="auto" w:w="0"/>
        <w:jc w:val="center"/>
        <w:tblLayout w:type="fixed"/>
        <w:tblLook w:firstColumn="1" w:firstRow="1" w:lastColumn="0" w:lastRow="0" w:noHBand="0" w:noVBand="1" w:val="04A0"/>
      </w:tblPr>
      <w:tblGrid>
        <w:gridCol w:w="10166"/>
      </w:tblGrid>
      <w:tr>
        <w:trPr>
          <w:cantSplit/>
          <w:trHeight w:hRule="auto"/>
        </w:trPr>
        <w:tc>
          <w:tcPr>
            <w:tcW w:type="dxa" w:w="9864"/>
            <w:shd w:fill="F7F0D8"/>
            <w:tcMar>
              <w:top w:w="150" w:type="dxa"/>
              <w:start w:w="170" w:type="dxa"/>
              <w:bottom w:w="150" w:type="dxa"/>
              <w:end w:w="170" w:type="dxa"/>
            </w:tcMar>
          </w:tcPr>
          <w:p>
            <w:pPr>
              <w:widowControl/>
              <w:spacing w:after="60"/>
            </w:pPr>
            <w:r>
              <w:rPr>
                <w:rFonts w:ascii="Arial" w:hAnsi="Arial"/>
                <w:b/>
                <w:color w:val="17324D"/>
                <w:sz w:val="21"/>
              </w:rPr>
              <w:t>Definition</w:t>
            </w:r>
          </w:p>
          <w:p>
            <w:pPr>
              <w:widowControl/>
              <w:spacing w:after="0" w:line="254" w:lineRule="auto"/>
            </w:pPr>
            <w:r>
              <w:rPr>
                <w:rFonts w:ascii="Arial" w:hAnsi="Arial"/>
                <w:color w:val="1E2730"/>
                <w:sz w:val="20"/>
              </w:rPr>
              <w:t>The Practice Board is not a leaderboard. It is a live coaching display that makes each athlete's current hyperfocused goal visible so coaches can call it out during practice.</w:t>
            </w:r>
          </w:p>
        </w:tc>
      </w:tr>
    </w:tbl>
    <w:p>
      <w:pPr>
        <w:spacing w:after="0"/>
      </w:pPr>
    </w:p>
    <w:p>
      <w:pPr>
        <w:pStyle w:val="Heading2"/>
      </w:pPr>
      <w:r>
        <w:t>10.1 Large-screen tile</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880"/>
            <w:shd w:fill="17324D"/>
            <w:tcMar>
              <w:top w:w="90" w:type="dxa"/>
              <w:start w:w="100" w:type="dxa"/>
              <w:bottom w:w="90" w:type="dxa"/>
              <w:end w:w="100" w:type="dxa"/>
            </w:tcMar>
            <w:vAlign w:val="center"/>
          </w:tcPr>
          <w:p>
            <w:pPr>
              <w:widowControl/>
              <w:jc w:val="left"/>
            </w:pPr>
            <w:r>
              <w:rPr>
                <w:rFonts w:ascii="Arial" w:hAnsi="Arial"/>
                <w:b/>
                <w:color w:val="FFFFFF"/>
                <w:sz w:val="18"/>
              </w:rPr>
              <w:t>Visible item</w:t>
            </w:r>
          </w:p>
        </w:tc>
        <w:tc>
          <w:tcPr>
            <w:tcW w:type="dxa" w:w="6912"/>
            <w:shd w:fill="17324D"/>
            <w:tcMar>
              <w:top w:w="90" w:type="dxa"/>
              <w:start w:w="100" w:type="dxa"/>
              <w:bottom w:w="90" w:type="dxa"/>
              <w:end w:w="100" w:type="dxa"/>
            </w:tcMar>
            <w:vAlign w:val="center"/>
          </w:tcPr>
          <w:p>
            <w:pPr>
              <w:widowControl/>
              <w:jc w:val="left"/>
            </w:pPr>
            <w:r>
              <w:rPr>
                <w:rFonts w:ascii="Arial" w:hAnsi="Arial"/>
                <w:b/>
                <w:color w:val="FFFFFF"/>
                <w:sz w:val="18"/>
              </w:rPr>
              <w:t>Rule</w:t>
            </w:r>
          </w:p>
        </w:tc>
      </w:tr>
      <w:tr>
        <w:trPr>
          <w:cantSplit/>
          <w:trHeight w:hRule="auto"/>
        </w:trPr>
        <w:tc>
          <w:tcPr>
            <w:tcW w:type="dxa" w:w="288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Athlete first name / coach-approved display name</w:t>
            </w:r>
          </w:p>
        </w:tc>
        <w:tc>
          <w:tcPr>
            <w:tcW w:type="dxa" w:w="691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Large, readable from across the room</w:t>
            </w:r>
          </w:p>
        </w:tc>
      </w:tr>
      <w:tr>
        <w:trPr>
          <w:cantSplit/>
          <w:trHeight w:hRule="auto"/>
        </w:trPr>
        <w:tc>
          <w:tcPr>
            <w:tcW w:type="dxa" w:w="288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Today's 1%</w:t>
            </w:r>
          </w:p>
        </w:tc>
        <w:tc>
          <w:tcPr>
            <w:tcW w:type="dxa" w:w="691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Primary text; one short actionable goal</w:t>
            </w:r>
          </w:p>
        </w:tc>
      </w:tr>
      <w:tr>
        <w:trPr>
          <w:cantSplit/>
          <w:trHeight w:hRule="auto"/>
        </w:trPr>
        <w:tc>
          <w:tcPr>
            <w:tcW w:type="dxa" w:w="288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Pillar</w:t>
            </w:r>
          </w:p>
        </w:tc>
        <w:tc>
          <w:tcPr>
            <w:tcW w:type="dxa" w:w="691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smaller cue</w:t>
            </w:r>
          </w:p>
        </w:tc>
      </w:tr>
      <w:tr>
        <w:trPr>
          <w:cantSplit/>
          <w:trHeight w:hRule="auto"/>
        </w:trPr>
        <w:tc>
          <w:tcPr>
            <w:tcW w:type="dxa" w:w="288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Completion state</w:t>
            </w:r>
          </w:p>
        </w:tc>
        <w:tc>
          <w:tcPr>
            <w:tcW w:type="dxa" w:w="691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end-of-practice indicator only; never a ranking or score</w:t>
            </w:r>
          </w:p>
        </w:tc>
      </w:tr>
    </w:tbl>
    <w:p>
      <w:pPr>
        <w:spacing w:after="20"/>
      </w:pPr>
    </w:p>
    <w:p>
      <w:pPr>
        <w:pStyle w:val="Heading2"/>
      </w:pPr>
      <w:r>
        <w:t>10.2 Board states</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232"/>
            <w:shd w:fill="17324D"/>
            <w:tcMar>
              <w:top w:w="90" w:type="dxa"/>
              <w:start w:w="100" w:type="dxa"/>
              <w:bottom w:w="90" w:type="dxa"/>
              <w:end w:w="100" w:type="dxa"/>
            </w:tcMar>
            <w:vAlign w:val="center"/>
          </w:tcPr>
          <w:p>
            <w:pPr>
              <w:widowControl/>
              <w:jc w:val="left"/>
            </w:pPr>
            <w:r>
              <w:rPr>
                <w:rFonts w:ascii="Arial" w:hAnsi="Arial"/>
                <w:b/>
                <w:color w:val="FFFFFF"/>
                <w:sz w:val="18"/>
              </w:rPr>
              <w:t>State</w:t>
            </w:r>
          </w:p>
        </w:tc>
        <w:tc>
          <w:tcPr>
            <w:tcW w:type="dxa" w:w="7560"/>
            <w:shd w:fill="17324D"/>
            <w:tcMar>
              <w:top w:w="90" w:type="dxa"/>
              <w:start w:w="100" w:type="dxa"/>
              <w:bottom w:w="90" w:type="dxa"/>
              <w:end w:w="100" w:type="dxa"/>
            </w:tcMar>
            <w:vAlign w:val="center"/>
          </w:tcPr>
          <w:p>
            <w:pPr>
              <w:widowControl/>
              <w:jc w:val="left"/>
            </w:pPr>
            <w:r>
              <w:rPr>
                <w:rFonts w:ascii="Arial" w:hAnsi="Arial"/>
                <w:b/>
                <w:color w:val="FFFFFF"/>
                <w:sz w:val="18"/>
              </w:rPr>
              <w:t>What the screen does</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Before practice</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Populates as athletes check in; coaches can see who still needs a focus</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Locks into a high-contrast display; goal text is the dominant information</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End of practice</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Can show a simple reflection-complete indicator and the team closing prompt</w:t>
            </w:r>
          </w:p>
        </w:tc>
      </w:tr>
      <w:tr>
        <w:trPr>
          <w:cantSplit/>
          <w:trHeight w:hRule="auto"/>
        </w:trPr>
        <w:tc>
          <w:tcPr>
            <w:tcW w:type="dxa" w:w="2232"/>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Competition / event</w:t>
            </w:r>
          </w:p>
        </w:tc>
        <w:tc>
          <w:tcPr>
            <w:tcW w:type="dxa" w:w="7560"/>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Optional event focus board using only fields intentionally marked team-visible</w:t>
            </w:r>
          </w:p>
        </w:tc>
      </w:tr>
    </w:tbl>
    <w:p>
      <w:pPr>
        <w:spacing w:after="20"/>
      </w:pPr>
    </w:p>
    <w:p>
      <w:pPr>
        <w:pStyle w:val="Heading2"/>
      </w:pPr>
      <w:r>
        <w:t>10.3 Visibility boundary</w:t>
      </w:r>
    </w:p>
    <w:p>
      <w:pPr>
        <w:widowControl/>
        <w:spacing w:after="80" w:before="0" w:line="259" w:lineRule="auto"/>
      </w:pPr>
      <w:r>
        <w:rPr>
          <w:rFonts w:ascii="Arial" w:hAnsi="Arial"/>
          <w:i w:val="0"/>
          <w:color w:val="1E2730"/>
        </w:rPr>
        <w:t>Only the explicitly team-visible practice goal and optional Pillar appear on the screen. Five Cs, private reflections, confidence evidence, recovery information, and personal notes never appear on the Practice Board.</w:t>
      </w:r>
    </w:p>
    <w:p>
      <w:pPr>
        <w:pStyle w:val="Heading1"/>
        <w:pageBreakBefore w:val="0"/>
      </w:pPr>
      <w:r>
        <w:t>11. Coach Experience</w:t>
      </w:r>
    </w:p>
    <w:p>
      <w:pPr>
        <w:pStyle w:val="Heading2"/>
      </w:pPr>
      <w:r>
        <w:t>Coach home</w:t>
      </w:r>
    </w:p>
    <w:p>
      <w:pPr>
        <w:pStyle w:val="CompactBullet"/>
        <w:ind w:left="360" w:hanging="173"/>
      </w:pPr>
      <w:r>
        <w:rPr>
          <w:rFonts w:ascii="Arial" w:hAnsi="Arial"/>
          <w:sz w:val="21"/>
        </w:rPr>
        <w:t>• Today's team focus and current YOU University lesson.</w:t>
      </w:r>
    </w:p>
    <w:p>
      <w:pPr>
        <w:pStyle w:val="CompactBullet"/>
        <w:ind w:left="360" w:hanging="173"/>
      </w:pPr>
      <w:r>
        <w:rPr>
          <w:rFonts w:ascii="Arial" w:hAnsi="Arial"/>
          <w:sz w:val="21"/>
        </w:rPr>
        <w:t>• Practice Board launch button.</w:t>
      </w:r>
    </w:p>
    <w:p>
      <w:pPr>
        <w:pStyle w:val="CompactBullet"/>
        <w:ind w:left="360" w:hanging="173"/>
      </w:pPr>
      <w:r>
        <w:rPr>
          <w:rFonts w:ascii="Arial" w:hAnsi="Arial"/>
          <w:sz w:val="21"/>
        </w:rPr>
        <w:t>• Roster with current Today's 1% goals.</w:t>
      </w:r>
    </w:p>
    <w:p>
      <w:pPr>
        <w:pStyle w:val="CompactBullet"/>
        <w:ind w:left="360" w:hanging="173"/>
      </w:pPr>
      <w:r>
        <w:rPr>
          <w:rFonts w:ascii="Arial" w:hAnsi="Arial"/>
          <w:sz w:val="21"/>
        </w:rPr>
        <w:t>• Quick view of athletes who have not set a focus yet.</w:t>
      </w:r>
    </w:p>
    <w:p>
      <w:pPr>
        <w:pStyle w:val="CompactBullet"/>
        <w:ind w:left="360" w:hanging="173"/>
      </w:pPr>
      <w:r>
        <w:rPr>
          <w:rFonts w:ascii="Arial" w:hAnsi="Arial"/>
          <w:sz w:val="21"/>
        </w:rPr>
        <w:t>• Coach-created example bucket for the current practice theme.</w:t>
      </w:r>
    </w:p>
    <w:p>
      <w:pPr>
        <w:pStyle w:val="CompactBullet"/>
        <w:ind w:left="360" w:hanging="173"/>
      </w:pPr>
      <w:r>
        <w:rPr>
          <w:rFonts w:ascii="Arial" w:hAnsi="Arial"/>
          <w:sz w:val="21"/>
        </w:rPr>
        <w:t>• Recognition / Team Win creation.</w:t>
      </w:r>
    </w:p>
    <w:p>
      <w:pPr>
        <w:pStyle w:val="CompactBullet"/>
        <w:ind w:left="360" w:hanging="173"/>
      </w:pPr>
      <w:r>
        <w:rPr>
          <w:rFonts w:ascii="Arial" w:hAnsi="Arial"/>
          <w:sz w:val="21"/>
        </w:rPr>
        <w:t>• Curriculum progress and upcoming lesson.</w:t>
      </w:r>
    </w:p>
    <w:p>
      <w:pPr>
        <w:pStyle w:val="Heading2"/>
      </w:pPr>
      <w:r>
        <w:t>Individual athlete view</w:t>
      </w:r>
    </w:p>
    <w:p>
      <w:pPr>
        <w:pStyle w:val="CompactBullet"/>
        <w:ind w:left="360" w:hanging="173"/>
      </w:pPr>
      <w:r>
        <w:rPr>
          <w:rFonts w:ascii="Arial" w:hAnsi="Arial"/>
          <w:sz w:val="21"/>
        </w:rPr>
        <w:t>• Recent 1% goals and how often the athlete carried them forward.</w:t>
      </w:r>
    </w:p>
    <w:p>
      <w:pPr>
        <w:pStyle w:val="CompactBullet"/>
        <w:ind w:left="360" w:hanging="173"/>
      </w:pPr>
      <w:r>
        <w:rPr>
          <w:rFonts w:ascii="Arial" w:hAnsi="Arial"/>
          <w:sz w:val="21"/>
        </w:rPr>
        <w:t>• Went Well / Improve history when those fields are configured as coach-visible.</w:t>
      </w:r>
    </w:p>
    <w:p>
      <w:pPr>
        <w:pStyle w:val="CompactBullet"/>
        <w:ind w:left="360" w:hanging="173"/>
      </w:pPr>
      <w:r>
        <w:rPr>
          <w:rFonts w:ascii="Arial" w:hAnsi="Arial"/>
          <w:sz w:val="21"/>
        </w:rPr>
        <w:t>• Confidence evidence the athlete chooses to share or that comes from coach recognition.</w:t>
      </w:r>
    </w:p>
    <w:p>
      <w:pPr>
        <w:pStyle w:val="CompactBullet"/>
        <w:ind w:left="360" w:hanging="173"/>
      </w:pPr>
      <w:r>
        <w:rPr>
          <w:rFonts w:ascii="Arial" w:hAnsi="Arial"/>
          <w:sz w:val="21"/>
        </w:rPr>
        <w:t>• Competition routine and goals when appropriate for coaching.</w:t>
      </w:r>
    </w:p>
    <w:p>
      <w:pPr>
        <w:pStyle w:val="CompactBullet"/>
        <w:ind w:left="360" w:hanging="173"/>
      </w:pPr>
      <w:r>
        <w:rPr>
          <w:rFonts w:ascii="Arial" w:hAnsi="Arial"/>
          <w:sz w:val="21"/>
        </w:rPr>
        <w:t>• Simple trends in the Five Cs if the program decides coaches should see them; never public.</w:t>
      </w:r>
    </w:p>
    <w:p>
      <w:pPr>
        <w:pStyle w:val="Heading2"/>
      </w:pPr>
      <w:r>
        <w:t>Coach feedback rule</w:t>
      </w:r>
    </w:p>
    <w:p>
      <w:pPr>
        <w:widowControl/>
        <w:spacing w:after="80" w:before="0" w:line="259" w:lineRule="auto"/>
      </w:pPr>
      <w:r>
        <w:rPr>
          <w:rFonts w:ascii="Arial" w:hAnsi="Arial"/>
          <w:i w:val="0"/>
          <w:color w:val="1E2730"/>
        </w:rPr>
        <w:t>Feedback should reinforce a behavior, observation, or next action. Avoid generic praise when a specific piece of evidence is available. Example: "You reset immediately after giving up the first score and got back to your offense" is more useful than "Great job."</w:t>
      </w:r>
    </w:p>
    <w:p>
      <w:r>
        <w:br w:type="page"/>
      </w:r>
    </w:p>
    <w:p>
      <w:pPr>
        <w:pStyle w:val="Heading1"/>
        <w:pageBreakBefore w:val="0"/>
      </w:pPr>
      <w:r>
        <w:t>12. Team Culture and Social Features</w:t>
      </w:r>
    </w:p>
    <w:p>
      <w:pPr>
        <w:widowControl/>
        <w:spacing w:after="80" w:before="0" w:line="259" w:lineRule="auto"/>
      </w:pPr>
      <w:r>
        <w:rPr>
          <w:rFonts w:ascii="Arial" w:hAnsi="Arial"/>
          <w:i w:val="0"/>
          <w:color w:val="1E2730"/>
        </w:rPr>
        <w:t>The team layer exists to create shared standards and social reinforcement, not to reproduce social media.</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4896"/>
            <w:shd w:fill="17324D"/>
            <w:tcMar>
              <w:top w:w="90" w:type="dxa"/>
              <w:start w:w="100" w:type="dxa"/>
              <w:bottom w:w="90" w:type="dxa"/>
              <w:end w:w="100" w:type="dxa"/>
            </w:tcMar>
            <w:vAlign w:val="center"/>
          </w:tcPr>
          <w:p>
            <w:pPr>
              <w:widowControl/>
              <w:jc w:val="left"/>
            </w:pPr>
            <w:r>
              <w:rPr>
                <w:rFonts w:ascii="Arial" w:hAnsi="Arial"/>
                <w:b/>
                <w:color w:val="FFFFFF"/>
                <w:sz w:val="18"/>
              </w:rPr>
              <w:t>Keep</w:t>
            </w:r>
          </w:p>
        </w:tc>
        <w:tc>
          <w:tcPr>
            <w:tcW w:type="dxa" w:w="4896"/>
            <w:shd w:fill="17324D"/>
            <w:tcMar>
              <w:top w:w="90" w:type="dxa"/>
              <w:start w:w="100" w:type="dxa"/>
              <w:bottom w:w="90" w:type="dxa"/>
              <w:end w:w="100" w:type="dxa"/>
            </w:tcMar>
            <w:vAlign w:val="center"/>
          </w:tcPr>
          <w:p>
            <w:pPr>
              <w:widowControl/>
              <w:jc w:val="left"/>
            </w:pPr>
            <w:r>
              <w:rPr>
                <w:rFonts w:ascii="Arial" w:hAnsi="Arial"/>
                <w:b/>
                <w:color w:val="FFFFFF"/>
                <w:sz w:val="18"/>
              </w:rPr>
              <w:t>Avoid</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Team Wins and process-based recognition</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Follower counts</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Coach-created shout-outs</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Popularity metrics</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Shared challenges tied to program behaviors</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Open public posting</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Team focus of the week</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athlete-to-athlete messaging</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Milestones and program achievements</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Public wellness or psychological scores</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Recognition for helping teammates / showing Pillars</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Endless feed behavior</w:t>
            </w:r>
          </w:p>
        </w:tc>
      </w:tr>
      <w:tr>
        <w:trPr>
          <w:cantSplit/>
          <w:trHeight w:hRule="auto"/>
        </w:trPr>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 Board</w:t>
            </w:r>
          </w:p>
        </w:tc>
        <w:tc>
          <w:tcPr>
            <w:tcW w:type="dxa" w:w="48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Ranking athletes by check-in streaks</w:t>
            </w:r>
          </w:p>
        </w:tc>
      </w:tr>
    </w:tbl>
    <w:p>
      <w:pPr>
        <w:spacing w:after="20"/>
      </w:pPr>
    </w:p>
    <w:p>
      <w:pPr>
        <w:pStyle w:val="Heading2"/>
      </w:pPr>
      <w:r>
        <w:t>Recognition examples</w:t>
      </w:r>
    </w:p>
    <w:p>
      <w:pPr>
        <w:pStyle w:val="CompactBullet"/>
        <w:ind w:left="360" w:hanging="173"/>
      </w:pPr>
      <w:r>
        <w:rPr>
          <w:rFonts w:ascii="Arial" w:hAnsi="Arial"/>
          <w:sz w:val="21"/>
        </w:rPr>
        <w:t>• Coach noticed: the team kept wrestling after bad positions tonight - Resilient.</w:t>
      </w:r>
    </w:p>
    <w:p>
      <w:pPr>
        <w:pStyle w:val="CompactBullet"/>
        <w:ind w:left="360" w:hanging="173"/>
      </w:pPr>
      <w:r>
        <w:rPr>
          <w:rFonts w:ascii="Arial" w:hAnsi="Arial"/>
          <w:sz w:val="21"/>
        </w:rPr>
        <w:t>• Team Win: everyone entered practice with a clear 1% focus.</w:t>
      </w:r>
    </w:p>
    <w:p>
      <w:pPr>
        <w:pStyle w:val="CompactBullet"/>
        <w:ind w:left="360" w:hanging="173"/>
      </w:pPr>
      <w:r>
        <w:rPr>
          <w:rFonts w:ascii="Arial" w:hAnsi="Arial"/>
          <w:sz w:val="21"/>
        </w:rPr>
        <w:t>• Teammate recognition: helped a new wrestler understand the drill - Respectful.</w:t>
      </w:r>
    </w:p>
    <w:p>
      <w:pPr>
        <w:pStyle w:val="CompactBullet"/>
        <w:ind w:left="360" w:hanging="173"/>
      </w:pPr>
      <w:r>
        <w:rPr>
          <w:rFonts w:ascii="Arial" w:hAnsi="Arial"/>
          <w:sz w:val="21"/>
        </w:rPr>
        <w:t>• Process milestone: used the competition routine at three events, including after a difficult previous match.</w:t>
      </w:r>
    </w:p>
    <w:p>
      <w:pPr>
        <w:pStyle w:val="Heading1"/>
        <w:pageBreakBefore w:val="0"/>
      </w:pPr>
      <w:r>
        <w:t>13. Safety, Privacy, and Youth Boundaries</w:t>
      </w:r>
    </w:p>
    <w:p>
      <w:pPr>
        <w:widowControl/>
        <w:spacing w:after="80" w:before="0" w:line="259" w:lineRule="auto"/>
      </w:pPr>
      <w:r>
        <w:rPr>
          <w:rFonts w:ascii="Arial" w:hAnsi="Arial"/>
          <w:i w:val="0"/>
          <w:color w:val="1E2730"/>
        </w:rPr>
        <w:t>This app is for adolescent athletes. Privacy should be designed before features, not added after the fact.</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304"/>
            <w:shd w:fill="17324D"/>
            <w:tcMar>
              <w:top w:w="90" w:type="dxa"/>
              <w:start w:w="100" w:type="dxa"/>
              <w:bottom w:w="90" w:type="dxa"/>
              <w:end w:w="100" w:type="dxa"/>
            </w:tcMar>
            <w:vAlign w:val="center"/>
          </w:tcPr>
          <w:p>
            <w:pPr>
              <w:widowControl/>
              <w:jc w:val="left"/>
            </w:pPr>
            <w:r>
              <w:rPr>
                <w:rFonts w:ascii="Arial" w:hAnsi="Arial"/>
                <w:b/>
                <w:color w:val="FFFFFF"/>
                <w:sz w:val="18"/>
              </w:rPr>
              <w:t>Boundary</w:t>
            </w:r>
          </w:p>
        </w:tc>
        <w:tc>
          <w:tcPr>
            <w:tcW w:type="dxa" w:w="7488"/>
            <w:shd w:fill="17324D"/>
            <w:tcMar>
              <w:top w:w="90" w:type="dxa"/>
              <w:start w:w="100" w:type="dxa"/>
              <w:bottom w:w="90" w:type="dxa"/>
              <w:end w:w="100" w:type="dxa"/>
            </w:tcMar>
            <w:vAlign w:val="center"/>
          </w:tcPr>
          <w:p>
            <w:pPr>
              <w:widowControl/>
              <w:jc w:val="left"/>
            </w:pPr>
            <w:r>
              <w:rPr>
                <w:rFonts w:ascii="Arial" w:hAnsi="Arial"/>
                <w:b/>
                <w:color w:val="FFFFFF"/>
                <w:sz w:val="18"/>
              </w:rPr>
              <w:t>V1 rule</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Public internet</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 athlete development data is public.</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 Board</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Only team-visible display fields are shown.</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reflections</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Visible only according to the program's explicitly chosen coach/athlete policy.</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 communication</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 private one-on-one messaging system with minors.</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Mental health</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 diagnosis, screening score, treatment advice, or crisis counseling by the app.</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Body / weight</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 weight-cutting, calorie, body-composition, or public body metrics.</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AI</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 generative AI counseling in the athlete experience for V1.</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Exports</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Coach/admin only; avoid unnecessary personal information.</w:t>
            </w:r>
          </w:p>
        </w:tc>
      </w:tr>
      <w:tr>
        <w:trPr>
          <w:cantSplit/>
          <w:trHeight w:hRule="auto"/>
        </w:trPr>
        <w:tc>
          <w:tcPr>
            <w:tcW w:type="dxa" w:w="2304"/>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Data collection</w:t>
            </w:r>
          </w:p>
        </w:tc>
        <w:tc>
          <w:tcPr>
            <w:tcW w:type="dxa" w:w="7488"/>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Collect only what serves a defined coaching or athlete-development purpose.</w:t>
            </w:r>
          </w:p>
        </w:tc>
      </w:tr>
    </w:tbl>
    <w:p>
      <w:pPr>
        <w:spacing w:after="20"/>
      </w:pPr>
    </w:p>
    <w:p>
      <w:pPr>
        <w:widowControl/>
        <w:spacing w:after="80" w:before="0" w:line="259" w:lineRule="auto"/>
      </w:pPr>
      <w:r>
        <w:rPr>
          <w:rFonts w:ascii="Arial" w:hAnsi="Arial"/>
          <w:i w:val="0"/>
          <w:color w:val="1E2730"/>
        </w:rPr>
        <w:t>SafeSport guidance requires electronic communications involving adult participants and minor athletes to follow open-and-transparent requirements, subject to defined exceptions. Keeping private coach-to-athlete messaging out of V1 materially simplifies this boundary.</w:t>
      </w:r>
    </w:p>
    <w:p>
      <w:pPr>
        <w:pStyle w:val="Heading2"/>
      </w:pPr>
      <w:r>
        <w:t>Age scope</w:t>
      </w:r>
    </w:p>
    <w:p>
      <w:pPr>
        <w:widowControl/>
        <w:spacing w:after="80" w:before="0" w:line="259" w:lineRule="auto"/>
      </w:pPr>
      <w:r>
        <w:rPr>
          <w:rFonts w:ascii="Arial" w:hAnsi="Arial"/>
          <w:i w:val="0"/>
          <w:color w:val="1E2730"/>
        </w:rPr>
        <w:t>Recommended starting scope: high-school athletes. If the program later includes children under 13, parental/school consent and COPPA-specific data practices should be designed intentionally before collecting personal information.</w:t>
      </w:r>
    </w:p>
    <w:p>
      <w:pPr>
        <w:pStyle w:val="Heading1"/>
        <w:pageBreakBefore w:val="0"/>
      </w:pPr>
      <w:r>
        <w:t>16. Analytics and Development History</w:t>
      </w:r>
    </w:p>
    <w:p>
      <w:pPr>
        <w:widowControl/>
        <w:spacing w:after="80" w:before="0" w:line="259" w:lineRule="auto"/>
      </w:pPr>
      <w:r>
        <w:rPr>
          <w:rFonts w:ascii="Arial" w:hAnsi="Arial"/>
          <w:i w:val="0"/>
          <w:color w:val="1E2730"/>
        </w:rPr>
        <w:t>Analytics should help an athlete and coach notice patterns; they should not claim to measure character or diagnose a problem.</w:t>
      </w:r>
    </w:p>
    <w:p>
      <w:pPr>
        <w:pStyle w:val="Heading2"/>
      </w:pPr>
      <w:r>
        <w:t>Athlete dashboard</w:t>
      </w:r>
    </w:p>
    <w:p>
      <w:pPr>
        <w:pStyle w:val="CompactBullet"/>
        <w:ind w:left="360" w:hanging="173"/>
      </w:pPr>
      <w:r>
        <w:rPr>
          <w:rFonts w:ascii="Arial" w:hAnsi="Arial"/>
          <w:sz w:val="21"/>
        </w:rPr>
        <w:t>• Current goal ladder and Today's 1%.</w:t>
      </w:r>
    </w:p>
    <w:p>
      <w:pPr>
        <w:pStyle w:val="CompactBullet"/>
        <w:ind w:left="360" w:hanging="173"/>
      </w:pPr>
      <w:r>
        <w:rPr>
          <w:rFonts w:ascii="Arial" w:hAnsi="Arial"/>
          <w:sz w:val="21"/>
        </w:rPr>
        <w:t>• Recent focuses and which ones the athlete chose to repeat.</w:t>
      </w:r>
    </w:p>
    <w:p>
      <w:pPr>
        <w:pStyle w:val="CompactBullet"/>
        <w:ind w:left="360" w:hanging="173"/>
      </w:pPr>
      <w:r>
        <w:rPr>
          <w:rFonts w:ascii="Arial" w:hAnsi="Arial"/>
          <w:sz w:val="21"/>
        </w:rPr>
        <w:t>• Confidence Bank evidence.</w:t>
      </w:r>
    </w:p>
    <w:p>
      <w:pPr>
        <w:pStyle w:val="CompactBullet"/>
        <w:ind w:left="360" w:hanging="173"/>
      </w:pPr>
      <w:r>
        <w:rPr>
          <w:rFonts w:ascii="Arial" w:hAnsi="Arial"/>
          <w:sz w:val="21"/>
        </w:rPr>
        <w:t>• Personal routines and cue words.</w:t>
      </w:r>
    </w:p>
    <w:p>
      <w:pPr>
        <w:pStyle w:val="CompactBullet"/>
        <w:ind w:left="360" w:hanging="173"/>
      </w:pPr>
      <w:r>
        <w:rPr>
          <w:rFonts w:ascii="Arial" w:hAnsi="Arial"/>
          <w:sz w:val="21"/>
        </w:rPr>
        <w:t>• Mental skills completed / practiced.</w:t>
      </w:r>
    </w:p>
    <w:p>
      <w:pPr>
        <w:pStyle w:val="CompactBullet"/>
        <w:ind w:left="360" w:hanging="173"/>
      </w:pPr>
      <w:r>
        <w:rPr>
          <w:rFonts w:ascii="Arial" w:hAnsi="Arial"/>
          <w:sz w:val="21"/>
        </w:rPr>
        <w:t>• Went Well / Improve themes over time.</w:t>
      </w:r>
    </w:p>
    <w:p>
      <w:pPr>
        <w:pStyle w:val="CompactBullet"/>
        <w:ind w:left="360" w:hanging="173"/>
      </w:pPr>
      <w:r>
        <w:rPr>
          <w:rFonts w:ascii="Arial" w:hAnsi="Arial"/>
          <w:sz w:val="21"/>
        </w:rPr>
        <w:t>• Five Cs trend lines if the athlete finds them useful.</w:t>
      </w:r>
    </w:p>
    <w:p>
      <w:pPr>
        <w:pStyle w:val="CompactBullet"/>
        <w:ind w:left="360" w:hanging="173"/>
      </w:pPr>
      <w:r>
        <w:rPr>
          <w:rFonts w:ascii="Arial" w:hAnsi="Arial"/>
          <w:sz w:val="21"/>
        </w:rPr>
        <w:t>• Personal "What works for me" list.</w:t>
      </w:r>
    </w:p>
    <w:p>
      <w:pPr>
        <w:pStyle w:val="Heading2"/>
      </w:pPr>
      <w:r>
        <w:t>Coach dashboard</w:t>
      </w:r>
    </w:p>
    <w:p>
      <w:pPr>
        <w:pStyle w:val="CompactBullet"/>
        <w:ind w:left="360" w:hanging="173"/>
      </w:pPr>
      <w:r>
        <w:rPr>
          <w:rFonts w:ascii="Arial" w:hAnsi="Arial"/>
          <w:sz w:val="21"/>
        </w:rPr>
        <w:t>• Current practice focus across the roster.</w:t>
      </w:r>
    </w:p>
    <w:p>
      <w:pPr>
        <w:pStyle w:val="CompactBullet"/>
        <w:ind w:left="360" w:hanging="173"/>
      </w:pPr>
      <w:r>
        <w:rPr>
          <w:rFonts w:ascii="Arial" w:hAnsi="Arial"/>
          <w:sz w:val="21"/>
        </w:rPr>
        <w:t>• Common goal themes to inform practice coaching.</w:t>
      </w:r>
    </w:p>
    <w:p>
      <w:pPr>
        <w:pStyle w:val="CompactBullet"/>
        <w:ind w:left="360" w:hanging="173"/>
      </w:pPr>
      <w:r>
        <w:rPr>
          <w:rFonts w:ascii="Arial" w:hAnsi="Arial"/>
          <w:sz w:val="21"/>
        </w:rPr>
        <w:t>• Curriculum progress and lesson completion.</w:t>
      </w:r>
    </w:p>
    <w:p>
      <w:pPr>
        <w:pStyle w:val="CompactBullet"/>
        <w:ind w:left="360" w:hanging="173"/>
      </w:pPr>
      <w:r>
        <w:rPr>
          <w:rFonts w:ascii="Arial" w:hAnsi="Arial"/>
          <w:sz w:val="21"/>
        </w:rPr>
        <w:t>• Which athletes may need help writing a usable process goal.</w:t>
      </w:r>
    </w:p>
    <w:p>
      <w:pPr>
        <w:pStyle w:val="CompactBullet"/>
        <w:ind w:left="360" w:hanging="173"/>
      </w:pPr>
      <w:r>
        <w:rPr>
          <w:rFonts w:ascii="Arial" w:hAnsi="Arial"/>
          <w:sz w:val="21"/>
        </w:rPr>
        <w:t>• Team-level trends only when they serve a coaching purpose.</w:t>
      </w:r>
    </w:p>
    <w:p>
      <w:pPr>
        <w:pStyle w:val="CompactBullet"/>
        <w:ind w:left="360" w:hanging="173"/>
      </w:pPr>
      <w:r>
        <w:rPr>
          <w:rFonts w:ascii="Arial" w:hAnsi="Arial"/>
          <w:sz w:val="21"/>
        </w:rPr>
        <w:t>• No public athlete comparisons or composite mental-toughness ranking.</w:t>
      </w:r>
    </w:p>
    <w:p>
      <w:pPr>
        <w:pStyle w:val="Heading1"/>
        <w:pageBreakBefore w:val="0"/>
      </w:pPr>
      <w:r>
        <w:t>17. MVP Definition</w:t>
      </w:r>
    </w:p>
    <w:p>
      <w:pPr>
        <w:widowControl/>
        <w:spacing w:after="80" w:before="0" w:line="259" w:lineRule="auto"/>
      </w:pPr>
      <w:r>
        <w:t>The MVP should prove the complete coaching loop, not merely prove that the software can save forms.</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592"/>
            <w:shd w:fill="17324D"/>
            <w:tcMar>
              <w:top w:w="90" w:type="dxa"/>
              <w:start w:w="100" w:type="dxa"/>
              <w:bottom w:w="90" w:type="dxa"/>
              <w:end w:w="100" w:type="dxa"/>
            </w:tcMar>
            <w:vAlign w:val="center"/>
          </w:tcPr>
          <w:p>
            <w:pPr>
              <w:widowControl/>
              <w:jc w:val="left"/>
            </w:pPr>
            <w:r>
              <w:rPr>
                <w:rFonts w:ascii="Arial" w:hAnsi="Arial"/>
                <w:b/>
                <w:color w:val="FFFFFF"/>
                <w:sz w:val="18"/>
              </w:rPr>
              <w:t>MVP capability</w:t>
            </w:r>
          </w:p>
        </w:tc>
        <w:tc>
          <w:tcPr>
            <w:tcW w:type="dxa" w:w="7200"/>
            <w:shd w:fill="17324D"/>
            <w:tcMar>
              <w:top w:w="90" w:type="dxa"/>
              <w:start w:w="100" w:type="dxa"/>
              <w:bottom w:w="90" w:type="dxa"/>
              <w:end w:w="100" w:type="dxa"/>
            </w:tcMar>
            <w:vAlign w:val="center"/>
          </w:tcPr>
          <w:p>
            <w:pPr>
              <w:widowControl/>
              <w:jc w:val="left"/>
            </w:pPr>
            <w:r>
              <w:rPr>
                <w:rFonts w:ascii="Arial" w:hAnsi="Arial"/>
                <w:b/>
                <w:color w:val="FFFFFF"/>
                <w:sz w:val="18"/>
              </w:rPr>
              <w:t>Required behavior</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Authentication</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and coach can securely sign in and see only permitted data</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onboarding</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Explains 1%, Pillars, Five Cs, privacy, and the daily loop</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Before practice</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sets Today's 1%, optional Pillar, intention, and Five Cs</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Practice Board</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Large-screen live display updates with name + Today's 1% + optional Pillar</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After practice</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closes the loop with Went Well, Improve, Five Cs, and optional confidence evidence</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YOU University</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Coach can release short lessons; athlete can complete and apply them</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Competition Mode</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can build a routine, cue, first job, if-then plan, and reflection</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My Development</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Athlete can revisit goals, evidence, routines, and learned skills</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Coach view</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Coach can see roster focus, launch board, manage content, and review appropriate history</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Team culture</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Coach can publish Team Wins / recognition without open social posting</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Security</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Rules prevent unauthenticated or cross-athlete private-data access</w:t>
            </w:r>
          </w:p>
        </w:tc>
      </w:tr>
      <w:tr>
        <w:trPr>
          <w:cantSplit/>
          <w:trHeight w:hRule="auto"/>
        </w:trPr>
        <w:tc>
          <w:tcPr>
            <w:tcW w:type="dxa" w:w="2592"/>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Mobile / offline</w:t>
            </w:r>
          </w:p>
        </w:tc>
        <w:tc>
          <w:tcPr>
            <w:tcW w:type="dxa" w:w="7200"/>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Core athlete workflow remains usable on a phone with intermittent connectivity</w:t>
            </w:r>
          </w:p>
        </w:tc>
      </w:tr>
      <w:tr>
        <w:tc>
          <w:tcPr>
            <w:tcW w:type="dxa" w:w="5083"/>
          </w:tcPr>
          <w:p>
            <w:r>
              <w:t>Reset Sweep (optional)</w:t>
            </w:r>
          </w:p>
        </w:tc>
        <w:tc>
          <w:tcPr>
            <w:tcW w:type="dxa" w:w="5083"/>
          </w:tcPr>
          <w:p>
            <w:r>
              <w:t>Full-screen smooth left-right dot for 20-45 seconds, visible Stop control, optional breath/cue prompt, no trauma or distress-content prompts.</w:t>
            </w:r>
          </w:p>
        </w:tc>
      </w:tr>
    </w:tbl>
    <w:p>
      <w:pPr>
        <w:spacing w:after="20"/>
      </w:pPr>
    </w:p>
    <w:p>
      <w:pPr>
        <w:pStyle w:val="Heading1"/>
        <w:pageBreakBefore w:val="0"/>
      </w:pPr>
      <w:r>
        <w:t>19. Reusable Content Templates</w:t>
      </w:r>
    </w:p>
    <w:p>
      <w:pPr>
        <w:pStyle w:val="Heading2"/>
      </w:pPr>
      <w:r>
        <w:t>19.1 Example bucket template</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015"/>
            <w:shd w:fill="17324D"/>
            <w:tcMar>
              <w:top w:w="90" w:type="dxa"/>
              <w:start w:w="100" w:type="dxa"/>
              <w:bottom w:w="90" w:type="dxa"/>
              <w:end w:w="100" w:type="dxa"/>
            </w:tcMar>
            <w:vAlign w:val="center"/>
          </w:tcPr>
          <w:p>
            <w:pPr>
              <w:widowControl/>
              <w:jc w:val="left"/>
            </w:pPr>
            <w:r>
              <w:rPr>
                <w:rFonts w:ascii="Arial" w:hAnsi="Arial"/>
                <w:b/>
                <w:color w:val="FFFFFF"/>
                <w:sz w:val="18"/>
              </w:rPr>
              <w:t>Field</w:t>
            </w:r>
          </w:p>
        </w:tc>
        <w:tc>
          <w:tcPr>
            <w:tcW w:type="dxa" w:w="7776"/>
            <w:shd w:fill="17324D"/>
            <w:tcMar>
              <w:top w:w="90" w:type="dxa"/>
              <w:start w:w="100" w:type="dxa"/>
              <w:bottom w:w="90" w:type="dxa"/>
              <w:end w:w="100" w:type="dxa"/>
            </w:tcMar>
            <w:vAlign w:val="center"/>
          </w:tcPr>
          <w:p>
            <w:pPr>
              <w:widowControl/>
              <w:jc w:val="left"/>
            </w:pPr>
            <w:r>
              <w:rPr>
                <w:rFonts w:ascii="Arial" w:hAnsi="Arial"/>
                <w:b/>
                <w:color w:val="FFFFFF"/>
                <w:sz w:val="18"/>
              </w:rPr>
              <w:t>Template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Prompt</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Short question written in athlete language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Why</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One sentence explaining why it matters</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Examples</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4-8 short, coach-approved examples</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My own</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Always allow athlete-created wording</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Visibility</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 coach-visible / team-visible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Related lesson</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YOU University skill that teaches the concept</w:t>
            </w:r>
          </w:p>
        </w:tc>
      </w:tr>
    </w:tbl>
    <w:p>
      <w:pPr>
        <w:spacing w:after="20"/>
      </w:pPr>
    </w:p>
    <w:p>
      <w:pPr>
        <w:pStyle w:val="Heading2"/>
      </w:pPr>
      <w:r>
        <w:t>19.2 YOU University lesson template</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015"/>
            <w:shd w:fill="17324D"/>
            <w:tcMar>
              <w:top w:w="90" w:type="dxa"/>
              <w:start w:w="100" w:type="dxa"/>
              <w:bottom w:w="90" w:type="dxa"/>
              <w:end w:w="100" w:type="dxa"/>
            </w:tcMar>
            <w:vAlign w:val="center"/>
          </w:tcPr>
          <w:p>
            <w:pPr>
              <w:widowControl/>
              <w:jc w:val="left"/>
            </w:pPr>
            <w:r>
              <w:rPr>
                <w:rFonts w:ascii="Arial" w:hAnsi="Arial"/>
                <w:b/>
                <w:color w:val="FFFFFF"/>
                <w:sz w:val="18"/>
              </w:rPr>
              <w:t>Block</w:t>
            </w:r>
          </w:p>
        </w:tc>
        <w:tc>
          <w:tcPr>
            <w:tcW w:type="dxa" w:w="7776"/>
            <w:shd w:fill="17324D"/>
            <w:tcMar>
              <w:top w:w="90" w:type="dxa"/>
              <w:start w:w="100" w:type="dxa"/>
              <w:bottom w:w="90" w:type="dxa"/>
              <w:end w:w="100" w:type="dxa"/>
            </w:tcMar>
            <w:vAlign w:val="center"/>
          </w:tcPr>
          <w:p>
            <w:pPr>
              <w:widowControl/>
              <w:jc w:val="left"/>
            </w:pPr>
            <w:r>
              <w:rPr>
                <w:rFonts w:ascii="Arial" w:hAnsi="Arial"/>
                <w:b/>
                <w:color w:val="FFFFFF"/>
                <w:sz w:val="18"/>
              </w:rPr>
              <w:t>Template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Title</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Plain-language athlete title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Skill</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One mental-performance skill only</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Why it matters</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Short wrestling-specific explanation</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Example</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What it looks/sounds like in practice or competition</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Try it now</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30-90 second exercise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it today</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Exact way to apply during practice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Reflect</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One useful question after practice</w:t>
            </w:r>
          </w:p>
        </w:tc>
      </w:tr>
      <w:tr>
        <w:trPr>
          <w:cantSplit/>
          <w:trHeight w:hRule="auto"/>
        </w:trPr>
        <w:tc>
          <w:tcPr>
            <w:tcW w:type="dxa" w:w="2015"/>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Keep it</w:t>
            </w:r>
          </w:p>
        </w:tc>
        <w:tc>
          <w:tcPr>
            <w:tcW w:type="dxa" w:w="777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Cue/routine/evidence saved into athlete toolkit</w:t>
            </w:r>
          </w:p>
        </w:tc>
      </w:tr>
    </w:tbl>
    <w:p>
      <w:pPr>
        <w:spacing w:after="20"/>
      </w:pPr>
    </w:p>
    <w:p>
      <w:pPr>
        <w:pStyle w:val="Heading2"/>
      </w:pPr>
      <w:r>
        <w:t>19.3 Coach recognition template</w:t>
      </w:r>
    </w:p>
    <w:p>
      <w:pPr>
        <w:widowControl/>
        <w:spacing w:after="80" w:before="0" w:line="259" w:lineRule="auto"/>
      </w:pPr>
      <w:r>
        <w:rPr>
          <w:rFonts w:ascii="Arial" w:hAnsi="Arial"/>
          <w:i w:val="0"/>
          <w:color w:val="1E2730"/>
        </w:rPr>
        <w:t>Observation -&gt; program word or skill -&gt; why it matters -&gt; next reinforcement. Example structure: "You gave up the first score, reset immediately, and attacked the next exchange. That is Resilient. Keep using the same reset."</w:t>
      </w:r>
    </w:p>
    <w:p>
      <w:pPr>
        <w:pStyle w:val="Heading2"/>
      </w:pPr>
      <w:r>
        <w:t>19.4 Practice focus template</w:t>
      </w:r>
    </w:p>
    <w:p>
      <w:pPr>
        <w:widowControl/>
        <w:spacing w:after="80" w:before="0" w:line="259" w:lineRule="auto"/>
      </w:pPr>
      <w:r>
        <w:rPr>
          <w:rFonts w:ascii="Arial" w:hAnsi="Arial"/>
          <w:i w:val="0"/>
          <w:color w:val="1E2730"/>
        </w:rPr>
        <w:t>Verb + wrestling behavior + context. Good: "Stay in good stance through the whole live go." Weak: "Be better." Good: "Reset after every whistle." Weak: "Stay positive."</w:t>
      </w:r>
    </w:p>
    <w:p>
      <w:pPr>
        <w:pStyle w:val="Heading1"/>
        <w:pageBreakBefore w:val="0"/>
      </w:pPr>
      <w:r>
        <w:t>20. Open Product Decisions Before Production</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3096"/>
            <w:shd w:fill="17324D"/>
            <w:tcMar>
              <w:top w:w="90" w:type="dxa"/>
              <w:start w:w="100" w:type="dxa"/>
              <w:bottom w:w="90" w:type="dxa"/>
              <w:end w:w="100" w:type="dxa"/>
            </w:tcMar>
            <w:vAlign w:val="center"/>
          </w:tcPr>
          <w:p>
            <w:pPr>
              <w:widowControl/>
              <w:jc w:val="left"/>
            </w:pPr>
            <w:r>
              <w:rPr>
                <w:rFonts w:ascii="Arial" w:hAnsi="Arial"/>
                <w:b/>
                <w:color w:val="FFFFFF"/>
                <w:sz w:val="18"/>
              </w:rPr>
              <w:t>Decision</w:t>
            </w:r>
          </w:p>
        </w:tc>
        <w:tc>
          <w:tcPr>
            <w:tcW w:type="dxa" w:w="6696"/>
            <w:shd w:fill="17324D"/>
            <w:tcMar>
              <w:top w:w="90" w:type="dxa"/>
              <w:start w:w="100" w:type="dxa"/>
              <w:bottom w:w="90" w:type="dxa"/>
              <w:end w:w="100" w:type="dxa"/>
            </w:tcMar>
            <w:vAlign w:val="center"/>
          </w:tcPr>
          <w:p>
            <w:pPr>
              <w:widowControl/>
              <w:jc w:val="left"/>
            </w:pPr>
            <w:r>
              <w:rPr>
                <w:rFonts w:ascii="Arial" w:hAnsi="Arial"/>
                <w:b/>
                <w:color w:val="FFFFFF"/>
                <w:sz w:val="18"/>
              </w:rPr>
              <w:t>Working default</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Product name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YOU University can remain the curriculum name; final app/product name still open</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Age range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Start with high school; expand younger only after consent/data plan is intentional</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Sign-in model</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Email/password or school Google account; no SMS</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Five Cs visibility</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to athlete by default; decide what coaches should see</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Reflection visibility</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Private by default; define which fields are intentionally coach-visible</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Recovery tracking</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Teach recovery/sleep; decide whether daily sleep/hydration entry is needed in MVP</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Notifications</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Avoid aggressive push behavior; decide whether practice reminders are needed after pilot</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Practice Board hardware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Any browser-capable TV/projector/laptop; design for 1080p first</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Technique language</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Coach-approved Merrill terms added deliberately; do not import generic jargon automatically</w:t>
            </w:r>
          </w:p>
        </w:tc>
      </w:tr>
      <w:tr>
        <w:trPr>
          <w:cantSplit/>
          <w:trHeight w:hRule="auto"/>
        </w:trPr>
        <w:tc>
          <w:tcPr>
            <w:tcW w:type="dxa" w:w="30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Branding</w:t>
            </w:r>
          </w:p>
        </w:tc>
        <w:tc>
          <w:tcPr>
            <w:tcW w:type="dxa" w:w="6696"/>
            <w:tcMar>
              <w:top w:w="85" w:type="dxa"/>
              <w:start w:w="100" w:type="dxa"/>
              <w:bottom w:w="85" w:type="dxa"/>
              <w:end w:w="100" w:type="dxa"/>
            </w:tcMar>
            <w:vAlign w:val="center"/>
            <w:shd w:fill="FFFFFF"/>
          </w:tcPr>
          <w:p>
            <w:pPr>
              <w:widowControl/>
              <w:spacing w:after="0" w:line="245" w:lineRule="auto"/>
            </w:pPr>
            <w:r>
              <w:rPr>
                <w:rFonts w:ascii="Arial" w:hAnsi="Arial"/>
                <w:color w:val="1E2730"/>
                <w:sz w:val="18"/>
              </w:rPr>
              <w:t>Use Merrill/team-approved visual identity after product flow is proven</w:t>
            </w:r>
          </w:p>
        </w:tc>
      </w:tr>
    </w:tbl>
    <w:p>
      <w:pPr>
        <w:spacing w:after="20"/>
      </w:pPr>
    </w:p>
    <w:p>
      <w:r>
        <w:br w:type="page"/>
      </w:r>
    </w:p>
    <w:p>
      <w:pPr>
        <w:pStyle w:val="Heading1"/>
      </w:pPr>
      <w:r>
        <w:t>21. Engagement, Reinforcement, and Positive Memory System</w:t>
      </w:r>
    </w:p>
    <w:p>
      <w:r>
        <w:t>Engagement is only valuable when it increases useful wrestling behavior, reflection, confidence, coach-athlete connection, and athlete independence. The app must never optimize for time-on-screen, compulsive checking, or fear of losing a streak.</w:t>
      </w:r>
    </w:p>
    <w:p>
      <w:pPr>
        <w:pStyle w:val="Heading2"/>
      </w:pPr>
      <w:r>
        <w:t>21.1 Confidence Bank as a living positive-memory system</w:t>
      </w:r>
    </w:p>
    <w:p>
      <w:r>
        <w:t>The Confidence Bank is not a folder the athlete has to remember to maintain. It is a low-friction evidence system that captures real moments from normal app use and resurfaces them when they can help the athlete prepare, recover, or recognize growth.</w:t>
      </w:r>
    </w:p>
    <w:tbl>
      <w:tblPr>
        <w:tblStyle w:val="TableGrid"/>
        <w:tblW w:type="auto" w:w="0"/>
        <w:tblLook w:firstColumn="1" w:firstRow="1" w:lastColumn="0" w:lastRow="0" w:noHBand="0" w:noVBand="1" w:val="04A0"/>
      </w:tblPr>
      <w:tblGrid>
        <w:gridCol w:w="3389"/>
        <w:gridCol w:w="3389"/>
        <w:gridCol w:w="3389"/>
      </w:tblGrid>
      <w:tr>
        <w:tc>
          <w:tcPr>
            <w:tcW w:type="dxa" w:w="2376"/>
            <w:shd w:fill="17324D"/>
            <w:tcMar>
              <w:top w:w="90" w:type="dxa"/>
              <w:start w:w="100" w:type="dxa"/>
              <w:bottom w:w="90" w:type="dxa"/>
              <w:end w:w="100" w:type="dxa"/>
            </w:tcMar>
            <w:vAlign w:val="center"/>
          </w:tcPr>
          <w:p>
            <w:r>
              <w:rPr>
                <w:b/>
                <w:color w:val="FFFFFF"/>
              </w:rPr>
            </w:r>
            <w:r>
              <w:rPr>
                <w:b/>
                <w:color w:val="FFFFFF"/>
              </w:rPr>
              <w:t>Source</w:t>
            </w:r>
          </w:p>
        </w:tc>
        <w:tc>
          <w:tcPr>
            <w:tcW w:type="dxa" w:w="2376"/>
            <w:shd w:fill="17324D"/>
            <w:tcMar>
              <w:top w:w="90" w:type="dxa"/>
              <w:start w:w="100" w:type="dxa"/>
              <w:bottom w:w="90" w:type="dxa"/>
              <w:end w:w="100" w:type="dxa"/>
            </w:tcMar>
            <w:vAlign w:val="center"/>
          </w:tcPr>
          <w:p>
            <w:r>
              <w:rPr>
                <w:b/>
                <w:color w:val="FFFFFF"/>
              </w:rPr>
            </w:r>
            <w:r>
              <w:rPr>
                <w:b/>
                <w:color w:val="FFFFFF"/>
              </w:rPr>
              <w:t>Capture behavior</w:t>
            </w:r>
          </w:p>
        </w:tc>
        <w:tc>
          <w:tcPr>
            <w:tcW w:type="dxa" w:w="2376"/>
            <w:shd w:fill="17324D"/>
            <w:tcMar>
              <w:top w:w="90" w:type="dxa"/>
              <w:start w:w="100" w:type="dxa"/>
              <w:bottom w:w="90" w:type="dxa"/>
              <w:end w:w="100" w:type="dxa"/>
            </w:tcMar>
            <w:vAlign w:val="center"/>
          </w:tcPr>
          <w:p>
            <w:r>
              <w:rPr>
                <w:b/>
                <w:color w:val="FFFFFF"/>
              </w:rPr>
            </w:r>
            <w:r>
              <w:rPr>
                <w:b/>
                <w:color w:val="FFFFFF"/>
              </w:rPr>
              <w:t>Value</w:t>
            </w:r>
          </w:p>
        </w:tc>
      </w:tr>
      <w:tr>
        <w:tc>
          <w:tcPr>
            <w:tcW w:type="dxa" w:w="2376"/>
            <w:tcMar>
              <w:top w:w="85" w:type="dxa"/>
              <w:start w:w="100" w:type="dxa"/>
              <w:bottom w:w="85" w:type="dxa"/>
              <w:end w:w="100" w:type="dxa"/>
            </w:tcMar>
            <w:vAlign w:val="center"/>
            <w:shd w:fill="FFFFFF"/>
          </w:tcPr>
          <w:p>
            <w:r/>
            <w:r>
              <w:rPr>
                <w:b w:val="0"/>
              </w:rPr>
              <w:t>Athlete reflection</w:t>
            </w:r>
          </w:p>
        </w:tc>
        <w:tc>
          <w:tcPr>
            <w:tcW w:type="dxa" w:w="7416"/>
            <w:tcMar>
              <w:top w:w="85" w:type="dxa"/>
              <w:start w:w="100" w:type="dxa"/>
              <w:bottom w:w="85" w:type="dxa"/>
              <w:end w:w="100" w:type="dxa"/>
            </w:tcMar>
            <w:vAlign w:val="center"/>
            <w:shd w:fill="FFFFFF"/>
          </w:tcPr>
          <w:p>
            <w:r/>
            <w:r>
              <w:rPr>
                <w:b w:val="0"/>
              </w:rPr>
              <w:t>A strong Went Well or post-match response can be saved with one tap as evidence.</w:t>
            </w:r>
          </w:p>
        </w:tc>
        <w:tc>
          <w:tcPr>
            <w:tcW w:type="dxa" w:w="3389"/>
          </w:tcPr>
          <w:p>
            <w:r/>
            <w:r>
              <w:rPr>
                <w:b w:val="0"/>
              </w:rPr>
              <w:t>Self-generated proof</w:t>
            </w:r>
          </w:p>
        </w:tc>
      </w:tr>
      <w:tr>
        <w:tc>
          <w:tcPr>
            <w:tcW w:type="dxa" w:w="2376"/>
            <w:tcMar>
              <w:top w:w="85" w:type="dxa"/>
              <w:start w:w="100" w:type="dxa"/>
              <w:bottom w:w="85" w:type="dxa"/>
              <w:end w:w="100" w:type="dxa"/>
            </w:tcMar>
            <w:vAlign w:val="center"/>
            <w:shd w:fill="FFFFFF"/>
          </w:tcPr>
          <w:p>
            <w:r/>
            <w:r>
              <w:rPr>
                <w:b w:val="0"/>
              </w:rPr>
              <w:t>Coach recognition</w:t>
            </w:r>
          </w:p>
        </w:tc>
        <w:tc>
          <w:tcPr>
            <w:tcW w:type="dxa" w:w="7416"/>
            <w:tcMar>
              <w:top w:w="85" w:type="dxa"/>
              <w:start w:w="100" w:type="dxa"/>
              <w:bottom w:w="85" w:type="dxa"/>
              <w:end w:w="100" w:type="dxa"/>
            </w:tcMar>
            <w:vAlign w:val="center"/>
            <w:shd w:fill="FFFFFF"/>
          </w:tcPr>
          <w:p>
            <w:r/>
            <w:r>
              <w:rPr>
                <w:b w:val="0"/>
              </w:rPr>
              <w:t>A coach can recognize an observed behavior such as a reset, adjustment, courage, or persistence.</w:t>
            </w:r>
          </w:p>
        </w:tc>
        <w:tc>
          <w:tcPr>
            <w:tcW w:type="dxa" w:w="3389"/>
          </w:tcPr>
          <w:p>
            <w:r/>
            <w:r>
              <w:rPr>
                <w:b w:val="0"/>
              </w:rPr>
              <w:t>Being seen for useful behavior</w:t>
            </w:r>
          </w:p>
        </w:tc>
      </w:tr>
      <w:tr>
        <w:tc>
          <w:tcPr>
            <w:tcW w:type="dxa" w:w="2376"/>
            <w:tcMar>
              <w:top w:w="85" w:type="dxa"/>
              <w:start w:w="100" w:type="dxa"/>
              <w:bottom w:w="85" w:type="dxa"/>
              <w:end w:w="100" w:type="dxa"/>
            </w:tcMar>
            <w:vAlign w:val="center"/>
            <w:shd w:fill="FFFFFF"/>
          </w:tcPr>
          <w:p>
            <w:r/>
            <w:r>
              <w:rPr>
                <w:b w:val="0"/>
              </w:rPr>
              <w:t>Goal follow-through</w:t>
            </w:r>
          </w:p>
        </w:tc>
        <w:tc>
          <w:tcPr>
            <w:tcW w:type="dxa" w:w="7416"/>
            <w:tcMar>
              <w:top w:w="85" w:type="dxa"/>
              <w:start w:w="100" w:type="dxa"/>
              <w:bottom w:w="85" w:type="dxa"/>
              <w:end w:w="100" w:type="dxa"/>
            </w:tcMar>
            <w:vAlign w:val="center"/>
            <w:shd w:fill="FFFFFF"/>
          </w:tcPr>
          <w:p>
            <w:r/>
            <w:r>
              <w:rPr>
                <w:b w:val="0"/>
              </w:rPr>
              <w:t>When an athlete intentionally works on her 1% and identifies evidence, the useful part can be saved.</w:t>
            </w:r>
          </w:p>
        </w:tc>
        <w:tc>
          <w:tcPr>
            <w:tcW w:type="dxa" w:w="3389"/>
          </w:tcPr>
          <w:p>
            <w:r/>
            <w:r>
              <w:rPr>
                <w:b w:val="0"/>
              </w:rPr>
              <w:t>Competence and progress</w:t>
            </w:r>
          </w:p>
        </w:tc>
      </w:tr>
      <w:tr>
        <w:tc>
          <w:tcPr>
            <w:tcW w:type="dxa" w:w="2376"/>
            <w:tcMar>
              <w:top w:w="85" w:type="dxa"/>
              <w:start w:w="100" w:type="dxa"/>
              <w:bottom w:w="85" w:type="dxa"/>
              <w:end w:w="100" w:type="dxa"/>
            </w:tcMar>
            <w:vAlign w:val="center"/>
            <w:shd w:fill="FFFFFF"/>
          </w:tcPr>
          <w:p>
            <w:r/>
            <w:r>
              <w:rPr>
                <w:b w:val="0"/>
              </w:rPr>
              <w:t>Competition learning</w:t>
            </w:r>
          </w:p>
        </w:tc>
        <w:tc>
          <w:tcPr>
            <w:tcW w:type="dxa" w:w="7416"/>
            <w:tcMar>
              <w:top w:w="85" w:type="dxa"/>
              <w:start w:w="100" w:type="dxa"/>
              <w:bottom w:w="85" w:type="dxa"/>
              <w:end w:w="100" w:type="dxa"/>
            </w:tcMar>
            <w:vAlign w:val="center"/>
            <w:shd w:fill="FFFFFF"/>
          </w:tcPr>
          <w:p>
            <w:r/>
            <w:r>
              <w:rPr>
                <w:b w:val="0"/>
              </w:rPr>
              <w:t>What worked under pressure can become a reusable confidence memory or routine clue.</w:t>
            </w:r>
          </w:p>
        </w:tc>
        <w:tc>
          <w:tcPr>
            <w:tcW w:type="dxa" w:w="3389"/>
          </w:tcPr>
          <w:p>
            <w:r/>
            <w:r>
              <w:rPr>
                <w:b w:val="0"/>
              </w:rPr>
              <w:t>Pressure-tested proof</w:t>
            </w:r>
          </w:p>
        </w:tc>
      </w:tr>
      <w:tr>
        <w:tc>
          <w:tcPr>
            <w:tcW w:type="dxa" w:w="2376"/>
            <w:tcMar>
              <w:top w:w="85" w:type="dxa"/>
              <w:start w:w="100" w:type="dxa"/>
              <w:bottom w:w="85" w:type="dxa"/>
              <w:end w:w="100" w:type="dxa"/>
            </w:tcMar>
            <w:vAlign w:val="center"/>
            <w:shd w:fill="FFFFFF"/>
          </w:tcPr>
          <w:p>
            <w:r/>
            <w:r>
              <w:rPr>
                <w:b w:val="0"/>
              </w:rPr>
              <w:t>YOU University</w:t>
            </w:r>
          </w:p>
        </w:tc>
        <w:tc>
          <w:tcPr>
            <w:tcW w:type="dxa" w:w="7416"/>
            <w:tcMar>
              <w:top w:w="85" w:type="dxa"/>
              <w:start w:w="100" w:type="dxa"/>
              <w:bottom w:w="85" w:type="dxa"/>
              <w:end w:w="100" w:type="dxa"/>
            </w:tcMar>
            <w:vAlign w:val="center"/>
            <w:shd w:fill="FFFFFF"/>
          </w:tcPr>
          <w:p>
            <w:r/>
            <w:r>
              <w:rPr>
                <w:b w:val="0"/>
              </w:rPr>
              <w:t>A lesson can create a saved cue, routine, if-then plan, or evidence item.</w:t>
            </w:r>
          </w:p>
        </w:tc>
        <w:tc>
          <w:tcPr>
            <w:tcW w:type="dxa" w:w="3389"/>
          </w:tcPr>
          <w:p>
            <w:r/>
            <w:r>
              <w:rPr>
                <w:b w:val="0"/>
              </w:rPr>
              <w:t>Skill transfer</w:t>
            </w:r>
          </w:p>
        </w:tc>
      </w:tr>
      <w:tr>
        <w:tc>
          <w:tcPr>
            <w:tcW w:type="dxa" w:w="2376"/>
            <w:tcMar>
              <w:top w:w="85" w:type="dxa"/>
              <w:start w:w="100" w:type="dxa"/>
              <w:bottom w:w="85" w:type="dxa"/>
              <w:end w:w="100" w:type="dxa"/>
            </w:tcMar>
            <w:vAlign w:val="center"/>
            <w:shd w:fill="FFFFFF"/>
          </w:tcPr>
          <w:p>
            <w:r/>
            <w:r>
              <w:rPr>
                <w:b w:val="0"/>
              </w:rPr>
              <w:t>Team/program milestone</w:t>
            </w:r>
          </w:p>
        </w:tc>
        <w:tc>
          <w:tcPr>
            <w:tcW w:type="dxa" w:w="7416"/>
            <w:tcMar>
              <w:top w:w="85" w:type="dxa"/>
              <w:start w:w="100" w:type="dxa"/>
              <w:bottom w:w="85" w:type="dxa"/>
              <w:end w:w="100" w:type="dxa"/>
            </w:tcMar>
            <w:vAlign w:val="center"/>
            <w:shd w:fill="FFFFFF"/>
          </w:tcPr>
          <w:p>
            <w:r/>
            <w:r>
              <w:rPr>
                <w:b w:val="0"/>
              </w:rPr>
              <w:t>Private personal contribution may be remembered without turning it into public ranking.</w:t>
            </w:r>
          </w:p>
        </w:tc>
        <w:tc>
          <w:tcPr>
            <w:tcW w:type="dxa" w:w="3389"/>
          </w:tcPr>
          <w:p>
            <w:r/>
            <w:r>
              <w:rPr>
                <w:b w:val="0"/>
              </w:rPr>
              <w:t>Belonging without comparison</w:t>
            </w:r>
          </w:p>
        </w:tc>
      </w:tr>
    </w:tbl>
    <w:p>
      <w:pPr>
        <w:pStyle w:val="Heading2"/>
      </w:pPr>
      <w:r>
        <w:t>21.2 How the bank gives value back</w:t>
      </w:r>
    </w:p>
    <w:p>
      <w:pPr>
        <w:pStyle w:val="ListBullet"/>
      </w:pPr>
      <w:r>
        <w:t>Competition day: show 1-3 relevant pieces of the athlete's own evidence before her routine, selected by recency, current Pillar, focus category, or competition relevance.</w:t>
      </w:r>
    </w:p>
    <w:p>
      <w:pPr>
        <w:pStyle w:val="ListBullet"/>
      </w:pPr>
      <w:r>
        <w:t>After a difficult result: offer a voluntary "Remember what you already know" card that surfaces evidence of previous effective responses. Do not force positivity or suppress the reflection.</w:t>
      </w:r>
    </w:p>
    <w:p>
      <w:pPr>
        <w:pStyle w:val="ListBullet"/>
      </w:pPr>
      <w:r>
        <w:t>Weekly review: summarize useful evidence collected that week and let the athlete choose what belongs in "What Works for Me."</w:t>
      </w:r>
    </w:p>
    <w:p>
      <w:pPr>
        <w:pStyle w:val="ListBullet"/>
      </w:pPr>
      <w:r>
        <w:t>My Development: organize evidence into understandable themes such as preparation, response after mistakes, technique confidence, coach feedback, and pressure performance.</w:t>
      </w:r>
    </w:p>
    <w:p>
      <w:pPr>
        <w:pStyle w:val="ListBullet"/>
      </w:pPr>
      <w:r>
        <w:t>Coach recognition: make a coach observation feel meaningful immediately, then preserve it so the athlete can revisit it later.</w:t>
      </w:r>
    </w:p>
    <w:p>
      <w:pPr>
        <w:pStyle w:val="ListBullet"/>
      </w:pPr>
      <w:r>
        <w:t>Occasional memory resurfacing: the app may rotate among relevant saved memories to create freshness, but only at useful moments and never as a slot-machine or endless-feed mechanic.</w:t>
      </w:r>
    </w:p>
    <w:p>
      <w:pPr>
        <w:pStyle w:val="Heading2"/>
      </w:pPr>
      <w:r>
        <w:t>21.3 Ethical reinforcement design</w:t>
      </w:r>
    </w:p>
    <w:p>
      <w:r>
        <w:t>Commercial apps often use uncertainty, social approval, novelty, progress, alerts, and loss aversion to increase checking behavior. Dopamine is involved in reward prediction and learning, but "dopamine hit" language is an oversimplification and there is no defensible design that guarantees a dopamine response. We can use the underlying learning principles without exploiting adolescent vulnerability.</w:t>
      </w:r>
    </w:p>
    <w:tbl>
      <w:tblPr>
        <w:tblStyle w:val="TableGrid"/>
        <w:tblW w:type="auto" w:w="0"/>
        <w:tblLook w:firstColumn="1" w:firstRow="1" w:lastColumn="0" w:lastRow="0" w:noHBand="0" w:noVBand="1" w:val="04A0"/>
      </w:tblPr>
      <w:tblGrid>
        <w:gridCol w:w="3389"/>
        <w:gridCol w:w="3389"/>
        <w:gridCol w:w="3389"/>
      </w:tblGrid>
      <w:tr>
        <w:tc>
          <w:tcPr>
            <w:tcW w:type="dxa" w:w="4896"/>
            <w:shd w:fill="17324D"/>
            <w:tcMar>
              <w:top w:w="90" w:type="dxa"/>
              <w:start w:w="100" w:type="dxa"/>
              <w:bottom w:w="90" w:type="dxa"/>
              <w:end w:w="100" w:type="dxa"/>
            </w:tcMar>
            <w:vAlign w:val="center"/>
          </w:tcPr>
          <w:p>
            <w:r>
              <w:rPr>
                <w:b/>
                <w:color w:val="FFFFFF"/>
              </w:rPr>
            </w:r>
            <w:r>
              <w:rPr>
                <w:b/>
                <w:color w:val="FFFFFF"/>
              </w:rPr>
              <w:t>Mechanism</w:t>
            </w:r>
          </w:p>
        </w:tc>
        <w:tc>
          <w:tcPr>
            <w:tcW w:type="dxa" w:w="4896"/>
            <w:shd w:fill="17324D"/>
            <w:tcMar>
              <w:top w:w="90" w:type="dxa"/>
              <w:start w:w="100" w:type="dxa"/>
              <w:bottom w:w="90" w:type="dxa"/>
              <w:end w:w="100" w:type="dxa"/>
            </w:tcMar>
            <w:vAlign w:val="center"/>
          </w:tcPr>
          <w:p>
            <w:r>
              <w:rPr>
                <w:b/>
                <w:color w:val="FFFFFF"/>
              </w:rPr>
            </w:r>
            <w:r>
              <w:rPr>
                <w:b/>
                <w:color w:val="FFFFFF"/>
              </w:rPr>
              <w:t>Approved use</w:t>
            </w:r>
          </w:p>
        </w:tc>
        <w:tc>
          <w:tcPr>
            <w:tcW w:type="dxa" w:w="4896"/>
            <w:shd w:fill="17324D"/>
            <w:tcMar>
              <w:top w:w="90" w:type="dxa"/>
              <w:start w:w="100" w:type="dxa"/>
              <w:bottom w:w="90" w:type="dxa"/>
              <w:end w:w="100" w:type="dxa"/>
            </w:tcMar>
            <w:vAlign w:val="center"/>
          </w:tcPr>
          <w:p>
            <w:r>
              <w:rPr>
                <w:b/>
                <w:color w:val="FFFFFF"/>
              </w:rPr>
            </w:r>
            <w:r>
              <w:rPr>
                <w:b/>
                <w:color w:val="FFFFFF"/>
              </w:rPr>
              <w:t>Do not use</w:t>
            </w:r>
          </w:p>
        </w:tc>
      </w:tr>
      <w:tr>
        <w:tc>
          <w:tcPr>
            <w:tcW w:type="dxa" w:w="4896"/>
            <w:tcMar>
              <w:top w:w="85" w:type="dxa"/>
              <w:start w:w="100" w:type="dxa"/>
              <w:bottom w:w="85" w:type="dxa"/>
              <w:end w:w="100" w:type="dxa"/>
            </w:tcMar>
            <w:vAlign w:val="center"/>
            <w:shd w:fill="FFFFFF"/>
          </w:tcPr>
          <w:p>
            <w:r/>
            <w:r>
              <w:rPr>
                <w:b w:val="0"/>
              </w:rPr>
              <w:t>Immediate feedback</w:t>
            </w:r>
          </w:p>
        </w:tc>
        <w:tc>
          <w:tcPr>
            <w:tcW w:type="dxa" w:w="4896"/>
            <w:tcMar>
              <w:top w:w="85" w:type="dxa"/>
              <w:start w:w="100" w:type="dxa"/>
              <w:bottom w:w="85" w:type="dxa"/>
              <w:end w:w="100" w:type="dxa"/>
            </w:tcMar>
            <w:vAlign w:val="center"/>
            <w:shd w:fill="FFFFFF"/>
          </w:tcPr>
          <w:p>
            <w:r/>
            <w:r>
              <w:rPr>
                <w:b w:val="0"/>
              </w:rPr>
              <w:t>Give a short saved/completed response after a real action.</w:t>
            </w:r>
          </w:p>
        </w:tc>
        <w:tc>
          <w:tcPr>
            <w:tcW w:type="dxa" w:w="3389"/>
          </w:tcPr>
          <w:p>
            <w:r/>
            <w:r>
              <w:rPr>
                <w:b w:val="0"/>
              </w:rPr>
              <w:t>Confetti loops, fake jackpots, repeated celebration for trivial taps</w:t>
            </w:r>
          </w:p>
        </w:tc>
      </w:tr>
      <w:tr>
        <w:tc>
          <w:tcPr>
            <w:tcW w:type="dxa" w:w="4896"/>
            <w:tcMar>
              <w:top w:w="85" w:type="dxa"/>
              <w:start w:w="100" w:type="dxa"/>
              <w:bottom w:w="85" w:type="dxa"/>
              <w:end w:w="100" w:type="dxa"/>
            </w:tcMar>
            <w:vAlign w:val="center"/>
            <w:shd w:fill="FFFFFF"/>
          </w:tcPr>
          <w:p>
            <w:r/>
            <w:r>
              <w:rPr>
                <w:b w:val="0"/>
              </w:rPr>
              <w:t>Progress</w:t>
            </w:r>
          </w:p>
        </w:tc>
        <w:tc>
          <w:tcPr>
            <w:tcW w:type="dxa" w:w="4896"/>
            <w:tcMar>
              <w:top w:w="85" w:type="dxa"/>
              <w:start w:w="100" w:type="dxa"/>
              <w:bottom w:w="85" w:type="dxa"/>
              <w:end w:w="100" w:type="dxa"/>
            </w:tcMar>
            <w:vAlign w:val="center"/>
            <w:shd w:fill="FFFFFF"/>
          </w:tcPr>
          <w:p>
            <w:r/>
            <w:r>
              <w:rPr>
                <w:b w:val="0"/>
              </w:rPr>
              <w:t>Show mental skills learned, goals practiced, and growing independence.</w:t>
            </w:r>
          </w:p>
        </w:tc>
        <w:tc>
          <w:tcPr>
            <w:tcW w:type="dxa" w:w="3389"/>
          </w:tcPr>
          <w:p>
            <w:r/>
            <w:r>
              <w:rPr>
                <w:b w:val="0"/>
              </w:rPr>
              <w:t>Points that reward screen use more than wrestling behavior</w:t>
            </w:r>
          </w:p>
        </w:tc>
      </w:tr>
      <w:tr>
        <w:tc>
          <w:tcPr>
            <w:tcW w:type="dxa" w:w="4896"/>
            <w:tcMar>
              <w:top w:w="85" w:type="dxa"/>
              <w:start w:w="100" w:type="dxa"/>
              <w:bottom w:w="85" w:type="dxa"/>
              <w:end w:w="100" w:type="dxa"/>
            </w:tcMar>
            <w:vAlign w:val="center"/>
            <w:shd w:fill="FFFFFF"/>
          </w:tcPr>
          <w:p>
            <w:r/>
            <w:r>
              <w:rPr>
                <w:b w:val="0"/>
              </w:rPr>
              <w:t>Social reinforcement</w:t>
            </w:r>
          </w:p>
        </w:tc>
        <w:tc>
          <w:tcPr>
            <w:tcW w:type="dxa" w:w="4896"/>
            <w:tcMar>
              <w:top w:w="85" w:type="dxa"/>
              <w:start w:w="100" w:type="dxa"/>
              <w:bottom w:w="85" w:type="dxa"/>
              <w:end w:w="100" w:type="dxa"/>
            </w:tcMar>
            <w:vAlign w:val="center"/>
            <w:shd w:fill="FFFFFF"/>
          </w:tcPr>
          <w:p>
            <w:r/>
            <w:r>
              <w:rPr>
                <w:b w:val="0"/>
              </w:rPr>
              <w:t>Use specific coach recognition and cooperative team accomplishments.</w:t>
            </w:r>
          </w:p>
        </w:tc>
        <w:tc>
          <w:tcPr>
            <w:tcW w:type="dxa" w:w="3389"/>
          </w:tcPr>
          <w:p>
            <w:r/>
            <w:r>
              <w:rPr>
                <w:b w:val="0"/>
              </w:rPr>
              <w:t>Likes, follower counts, popularity rankings, public comparison</w:t>
            </w:r>
          </w:p>
        </w:tc>
      </w:tr>
      <w:tr>
        <w:tc>
          <w:tcPr>
            <w:tcW w:type="dxa" w:w="4896"/>
            <w:tcMar>
              <w:top w:w="85" w:type="dxa"/>
              <w:start w:w="100" w:type="dxa"/>
              <w:bottom w:w="85" w:type="dxa"/>
              <w:end w:w="100" w:type="dxa"/>
            </w:tcMar>
            <w:vAlign w:val="center"/>
            <w:shd w:fill="FFFFFF"/>
          </w:tcPr>
          <w:p>
            <w:r/>
            <w:r>
              <w:rPr>
                <w:b w:val="0"/>
              </w:rPr>
              <w:t>Novelty</w:t>
            </w:r>
          </w:p>
        </w:tc>
        <w:tc>
          <w:tcPr>
            <w:tcW w:type="dxa" w:w="4896"/>
            <w:tcMar>
              <w:top w:w="85" w:type="dxa"/>
              <w:start w:w="100" w:type="dxa"/>
              <w:bottom w:w="85" w:type="dxa"/>
              <w:end w:w="100" w:type="dxa"/>
            </w:tcMar>
            <w:vAlign w:val="center"/>
            <w:shd w:fill="FFFFFF"/>
          </w:tcPr>
          <w:p>
            <w:r/>
            <w:r>
              <w:rPr>
                <w:b w:val="0"/>
              </w:rPr>
              <w:t>Rotate examples, weekly lessons, and relevant saved memories.</w:t>
            </w:r>
          </w:p>
        </w:tc>
        <w:tc>
          <w:tcPr>
            <w:tcW w:type="dxa" w:w="3389"/>
          </w:tcPr>
          <w:p>
            <w:r/>
            <w:r>
              <w:rPr>
                <w:b w:val="0"/>
              </w:rPr>
              <w:t>Infinite feeds or unpredictable content solely to keep the athlete scrolling</w:t>
            </w:r>
          </w:p>
        </w:tc>
      </w:tr>
      <w:tr>
        <w:tc>
          <w:tcPr>
            <w:tcW w:type="dxa" w:w="4896"/>
            <w:tcMar>
              <w:top w:w="85" w:type="dxa"/>
              <w:start w:w="100" w:type="dxa"/>
              <w:bottom w:w="85" w:type="dxa"/>
              <w:end w:w="100" w:type="dxa"/>
            </w:tcMar>
            <w:vAlign w:val="center"/>
            <w:shd w:fill="FFFFFF"/>
          </w:tcPr>
          <w:p>
            <w:r/>
            <w:r>
              <w:rPr>
                <w:b w:val="0"/>
              </w:rPr>
              <w:t>Anticipation</w:t>
            </w:r>
          </w:p>
        </w:tc>
        <w:tc>
          <w:tcPr>
            <w:tcW w:type="dxa" w:w="4896"/>
            <w:tcMar>
              <w:top w:w="85" w:type="dxa"/>
              <w:start w:w="100" w:type="dxa"/>
              <w:bottom w:w="85" w:type="dxa"/>
              <w:end w:w="100" w:type="dxa"/>
            </w:tcMar>
            <w:vAlign w:val="center"/>
            <w:shd w:fill="FFFFFF"/>
          </w:tcPr>
          <w:p>
            <w:r/>
            <w:r>
              <w:rPr>
                <w:b w:val="0"/>
              </w:rPr>
              <w:t>Competition card, weekly summary, and purposeful "what will I work on?" prompts.</w:t>
            </w:r>
          </w:p>
        </w:tc>
        <w:tc>
          <w:tcPr>
            <w:tcW w:type="dxa" w:w="3389"/>
          </w:tcPr>
          <w:p>
            <w:r/>
            <w:r>
              <w:rPr>
                <w:b w:val="0"/>
              </w:rPr>
              <w:t>Teaser notifications with no real wrestling value</w:t>
            </w:r>
          </w:p>
        </w:tc>
      </w:tr>
      <w:tr>
        <w:tc>
          <w:tcPr>
            <w:tcW w:type="dxa" w:w="4896"/>
            <w:tcMar>
              <w:top w:w="85" w:type="dxa"/>
              <w:start w:w="100" w:type="dxa"/>
              <w:bottom w:w="85" w:type="dxa"/>
              <w:end w:w="100" w:type="dxa"/>
            </w:tcMar>
            <w:vAlign w:val="center"/>
            <w:shd w:fill="FFFFFF"/>
          </w:tcPr>
          <w:p>
            <w:r/>
            <w:r>
              <w:rPr>
                <w:b w:val="0"/>
              </w:rPr>
              <w:t>Streak continuity</w:t>
            </w:r>
          </w:p>
        </w:tc>
        <w:tc>
          <w:tcPr>
            <w:tcW w:type="dxa" w:w="4896"/>
            <w:tcMar>
              <w:top w:w="85" w:type="dxa"/>
              <w:start w:w="100" w:type="dxa"/>
              <w:bottom w:w="85" w:type="dxa"/>
              <w:end w:w="100" w:type="dxa"/>
            </w:tcMar>
            <w:vAlign w:val="center"/>
            <w:shd w:fill="FFFFFF"/>
          </w:tcPr>
          <w:p>
            <w:r/>
            <w:r>
              <w:rPr>
                <w:b w:val="0"/>
              </w:rPr>
              <w:t>Show practices intentionally completed or weeks engaged without punishment for a miss.</w:t>
            </w:r>
          </w:p>
        </w:tc>
        <w:tc>
          <w:tcPr>
            <w:tcW w:type="dxa" w:w="3389"/>
          </w:tcPr>
          <w:p>
            <w:r/>
            <w:r>
              <w:rPr>
                <w:b w:val="0"/>
              </w:rPr>
              <w:t>Hard streak loss, shame, or loss-aversion pressure</w:t>
            </w:r>
          </w:p>
        </w:tc>
      </w:tr>
      <w:tr>
        <w:tc>
          <w:tcPr>
            <w:tcW w:type="dxa" w:w="4896"/>
            <w:tcMar>
              <w:top w:w="85" w:type="dxa"/>
              <w:start w:w="100" w:type="dxa"/>
              <w:bottom w:w="85" w:type="dxa"/>
              <w:end w:w="100" w:type="dxa"/>
            </w:tcMar>
            <w:vAlign w:val="center"/>
            <w:shd w:fill="FFFFFF"/>
          </w:tcPr>
          <w:p>
            <w:r/>
            <w:r>
              <w:rPr>
                <w:b w:val="0"/>
              </w:rPr>
              <w:t>Variable reinforcement</w:t>
            </w:r>
          </w:p>
        </w:tc>
        <w:tc>
          <w:tcPr>
            <w:tcW w:type="dxa" w:w="4896"/>
            <w:tcMar>
              <w:top w:w="85" w:type="dxa"/>
              <w:start w:w="100" w:type="dxa"/>
              <w:bottom w:w="85" w:type="dxa"/>
              <w:end w:w="100" w:type="dxa"/>
            </w:tcMar>
            <w:vAlign w:val="center"/>
            <w:shd w:fill="FFFFFF"/>
          </w:tcPr>
          <w:p>
            <w:r/>
            <w:r>
              <w:rPr>
                <w:b w:val="0"/>
              </w:rPr>
              <w:t>Allow bounded variation in which personally relevant confidence memory is resurfaced.</w:t>
            </w:r>
          </w:p>
        </w:tc>
        <w:tc>
          <w:tcPr>
            <w:tcW w:type="dxa" w:w="3389"/>
          </w:tcPr>
          <w:p>
            <w:r/>
            <w:r>
              <w:rPr>
                <w:b w:val="0"/>
              </w:rPr>
              <w:t>Variable-ratio reward mechanics designed to cause compulsive checking</w:t>
            </w:r>
          </w:p>
        </w:tc>
      </w:tr>
      <w:tr>
        <w:tc>
          <w:tcPr>
            <w:tcW w:type="dxa" w:w="4896"/>
            <w:tcMar>
              <w:top w:w="85" w:type="dxa"/>
              <w:start w:w="100" w:type="dxa"/>
              <w:bottom w:w="85" w:type="dxa"/>
              <w:end w:w="100" w:type="dxa"/>
            </w:tcMar>
            <w:vAlign w:val="center"/>
            <w:shd w:fill="FFFFFF"/>
          </w:tcPr>
          <w:p>
            <w:r/>
            <w:r>
              <w:rPr>
                <w:b w:val="0"/>
              </w:rPr>
              <w:t>Notifications</w:t>
            </w:r>
          </w:p>
        </w:tc>
        <w:tc>
          <w:tcPr>
            <w:tcW w:type="dxa" w:w="4896"/>
            <w:tcMar>
              <w:top w:w="85" w:type="dxa"/>
              <w:start w:w="100" w:type="dxa"/>
              <w:bottom w:w="85" w:type="dxa"/>
              <w:end w:w="100" w:type="dxa"/>
            </w:tcMar>
            <w:vAlign w:val="center"/>
            <w:shd w:fill="FFFFFF"/>
          </w:tcPr>
          <w:p>
            <w:r/>
            <w:r>
              <w:rPr>
                <w:b w:val="0"/>
              </w:rPr>
              <w:t>Sparse, practice-context reminders that help complete a real task.</w:t>
            </w:r>
          </w:p>
        </w:tc>
        <w:tc>
          <w:tcPr>
            <w:tcW w:type="dxa" w:w="3389"/>
          </w:tcPr>
          <w:p>
            <w:r/>
            <w:r>
              <w:rPr>
                <w:b w:val="0"/>
              </w:rPr>
              <w:t>Random pings, urgency, repeated nags, or nighttime engagement prompts</w:t>
            </w:r>
          </w:p>
        </w:tc>
      </w:tr>
    </w:tbl>
    <w:p>
      <w:pPr>
        <w:pStyle w:val="Heading2"/>
      </w:pPr>
      <w:r>
        <w:t>21.4 Psychological design model for adolescent girls</w:t>
      </w:r>
    </w:p>
    <w:p>
      <w:pPr>
        <w:pStyle w:val="ListBullet"/>
      </w:pPr>
      <w:r>
        <w:t>Autonomy: always preserve meaningful choice. Examples help, but "My own" stays available. The athlete can skip optional tools and decide what belongs in her personal toolkit.</w:t>
      </w:r>
    </w:p>
    <w:p>
      <w:pPr>
        <w:pStyle w:val="ListBullet"/>
      </w:pPr>
      <w:r>
        <w:t>Competence: show proof of learning and mastery. Confidence should come from evidence, not generic praise.</w:t>
      </w:r>
    </w:p>
    <w:p>
      <w:pPr>
        <w:pStyle w:val="ListBullet"/>
      </w:pPr>
      <w:r>
        <w:t>Relatedness: connect the digital system to coaches, teammates, shared language, and cooperative team standards without popularity mechanics.</w:t>
      </w:r>
    </w:p>
    <w:p>
      <w:pPr>
        <w:pStyle w:val="ListBullet"/>
      </w:pPr>
      <w:r>
        <w:t>Identity development: let the athlete gradually articulate "My Wrestling" in her own language, including cues, routines, strengths, responses, and what she knows works for her.</w:t>
      </w:r>
    </w:p>
    <w:p>
      <w:pPr>
        <w:pStyle w:val="ListBullet"/>
      </w:pPr>
      <w:r>
        <w:t>Low cognitive load: one obvious task at a time, short examples, familiar social-app interaction patterns, and no requirement to understand the underlying data model.</w:t>
      </w:r>
    </w:p>
    <w:p>
      <w:pPr>
        <w:pStyle w:val="ListBullet"/>
      </w:pPr>
      <w:r>
        <w:t>Agency over privacy: make team-visible versus private content obvious at the moment of entry, not buried in settings.</w:t>
      </w:r>
    </w:p>
    <w:p>
      <w:pPr>
        <w:pStyle w:val="ListBullet"/>
      </w:pPr>
      <w:r>
        <w:t>Recovery from misses: never treat a missed check-in as failure. The system should make returning easy and normal.</w:t>
      </w:r>
    </w:p>
    <w:p>
      <w:pPr>
        <w:pStyle w:val="Heading2"/>
      </w:pPr>
      <w:r>
        <w:t>21.5 Engagement outcome measures</w:t>
      </w:r>
    </w:p>
    <w:tbl>
      <w:tblPr>
        <w:tblStyle w:val="TableGrid"/>
        <w:tblW w:type="auto" w:w="0"/>
        <w:tblLook w:firstColumn="1" w:firstRow="1" w:lastColumn="0" w:lastRow="0" w:noHBand="0" w:noVBand="1" w:val="04A0"/>
      </w:tblPr>
      <w:tblGrid>
        <w:gridCol w:w="5083"/>
        <w:gridCol w:w="5083"/>
      </w:tblGrid>
      <w:tr>
        <w:tc>
          <w:tcPr>
            <w:tcW w:type="dxa" w:w="2376"/>
            <w:shd w:fill="17324D"/>
            <w:tcMar>
              <w:top w:w="90" w:type="dxa"/>
              <w:start w:w="100" w:type="dxa"/>
              <w:bottom w:w="90" w:type="dxa"/>
              <w:end w:w="100" w:type="dxa"/>
            </w:tcMar>
            <w:vAlign w:val="center"/>
          </w:tcPr>
          <w:p>
            <w:r>
              <w:rPr>
                <w:b/>
                <w:color w:val="FFFFFF"/>
              </w:rPr>
            </w:r>
            <w:r>
              <w:rPr>
                <w:b/>
                <w:color w:val="FFFFFF"/>
              </w:rPr>
              <w:t>Measure</w:t>
            </w:r>
          </w:p>
        </w:tc>
        <w:tc>
          <w:tcPr>
            <w:tcW w:type="dxa" w:w="2376"/>
            <w:shd w:fill="17324D"/>
            <w:tcMar>
              <w:top w:w="90" w:type="dxa"/>
              <w:start w:w="100" w:type="dxa"/>
              <w:bottom w:w="90" w:type="dxa"/>
              <w:end w:w="100" w:type="dxa"/>
            </w:tcMar>
            <w:vAlign w:val="center"/>
          </w:tcPr>
          <w:p>
            <w:r>
              <w:rPr>
                <w:b/>
                <w:color w:val="FFFFFF"/>
              </w:rPr>
            </w:r>
            <w:r>
              <w:rPr>
                <w:b/>
                <w:color w:val="FFFFFF"/>
              </w:rPr>
              <w:t>What it tells us</w:t>
            </w:r>
          </w:p>
        </w:tc>
      </w:tr>
      <w:tr>
        <w:tc>
          <w:tcPr>
            <w:tcW w:type="dxa" w:w="2376"/>
            <w:tcMar>
              <w:top w:w="85" w:type="dxa"/>
              <w:start w:w="100" w:type="dxa"/>
              <w:bottom w:w="85" w:type="dxa"/>
              <w:end w:w="100" w:type="dxa"/>
            </w:tcMar>
            <w:vAlign w:val="center"/>
            <w:shd w:fill="FFFFFF"/>
          </w:tcPr>
          <w:p>
            <w:r/>
            <w:r>
              <w:rPr>
                <w:b w:val="0"/>
              </w:rPr>
              <w:t>Core-loop completion</w:t>
            </w:r>
          </w:p>
        </w:tc>
        <w:tc>
          <w:tcPr>
            <w:tcW w:type="dxa" w:w="7416"/>
            <w:tcMar>
              <w:top w:w="85" w:type="dxa"/>
              <w:start w:w="100" w:type="dxa"/>
              <w:bottom w:w="85" w:type="dxa"/>
              <w:end w:w="100" w:type="dxa"/>
            </w:tcMar>
            <w:vAlign w:val="center"/>
            <w:shd w:fill="FFFFFF"/>
          </w:tcPr>
          <w:p>
            <w:r/>
            <w:r>
              <w:rPr>
                <w:b w:val="0"/>
              </w:rPr>
              <w:t>Percent of attended practices with Before Practice -&gt; coaching use -&gt; After Practice closed.</w:t>
            </w:r>
          </w:p>
        </w:tc>
      </w:tr>
      <w:tr>
        <w:tc>
          <w:tcPr>
            <w:tcW w:type="dxa" w:w="2376"/>
            <w:tcMar>
              <w:top w:w="85" w:type="dxa"/>
              <w:start w:w="100" w:type="dxa"/>
              <w:bottom w:w="85" w:type="dxa"/>
              <w:end w:w="100" w:type="dxa"/>
            </w:tcMar>
            <w:vAlign w:val="center"/>
            <w:shd w:fill="FFFFFF"/>
          </w:tcPr>
          <w:p>
            <w:r/>
            <w:r>
              <w:rPr>
                <w:b w:val="0"/>
              </w:rPr>
              <w:t>Scaffolding independence</w:t>
            </w:r>
          </w:p>
        </w:tc>
        <w:tc>
          <w:tcPr>
            <w:tcW w:type="dxa" w:w="7416"/>
            <w:tcMar>
              <w:top w:w="85" w:type="dxa"/>
              <w:start w:w="100" w:type="dxa"/>
              <w:bottom w:w="85" w:type="dxa"/>
              <w:end w:w="100" w:type="dxa"/>
            </w:tcMar>
            <w:vAlign w:val="center"/>
            <w:shd w:fill="FFFFFF"/>
          </w:tcPr>
          <w:p>
            <w:r/>
            <w:r>
              <w:rPr>
                <w:b w:val="0"/>
              </w:rPr>
              <w:t>Over the season, athletes increasingly create useful own-language goals/cues instead of relying entirely on examples.</w:t>
            </w:r>
          </w:p>
        </w:tc>
      </w:tr>
      <w:tr>
        <w:tc>
          <w:tcPr>
            <w:tcW w:type="dxa" w:w="2376"/>
            <w:tcMar>
              <w:top w:w="85" w:type="dxa"/>
              <w:start w:w="100" w:type="dxa"/>
              <w:bottom w:w="85" w:type="dxa"/>
              <w:end w:w="100" w:type="dxa"/>
            </w:tcMar>
            <w:vAlign w:val="center"/>
            <w:shd w:fill="FFFFFF"/>
          </w:tcPr>
          <w:p>
            <w:r/>
            <w:r>
              <w:rPr>
                <w:b w:val="0"/>
              </w:rPr>
              <w:t>Evidence capture</w:t>
            </w:r>
          </w:p>
        </w:tc>
        <w:tc>
          <w:tcPr>
            <w:tcW w:type="dxa" w:w="7416"/>
            <w:tcMar>
              <w:top w:w="85" w:type="dxa"/>
              <w:start w:w="100" w:type="dxa"/>
              <w:bottom w:w="85" w:type="dxa"/>
              <w:end w:w="100" w:type="dxa"/>
            </w:tcMar>
            <w:vAlign w:val="center"/>
            <w:shd w:fill="FFFFFF"/>
          </w:tcPr>
          <w:p>
            <w:r/>
            <w:r>
              <w:rPr>
                <w:b w:val="0"/>
              </w:rPr>
              <w:t>Useful Confidence Bank entries created from real practice, competition, and coach observation.</w:t>
            </w:r>
          </w:p>
        </w:tc>
      </w:tr>
      <w:tr>
        <w:tc>
          <w:tcPr>
            <w:tcW w:type="dxa" w:w="2376"/>
            <w:tcMar>
              <w:top w:w="85" w:type="dxa"/>
              <w:start w:w="100" w:type="dxa"/>
              <w:bottom w:w="85" w:type="dxa"/>
              <w:end w:w="100" w:type="dxa"/>
            </w:tcMar>
            <w:vAlign w:val="center"/>
            <w:shd w:fill="FFFFFF"/>
          </w:tcPr>
          <w:p>
            <w:r/>
            <w:r>
              <w:rPr>
                <w:b w:val="0"/>
              </w:rPr>
              <w:t>Evidence reuse</w:t>
            </w:r>
          </w:p>
        </w:tc>
        <w:tc>
          <w:tcPr>
            <w:tcW w:type="dxa" w:w="7416"/>
            <w:tcMar>
              <w:top w:w="85" w:type="dxa"/>
              <w:start w:w="100" w:type="dxa"/>
              <w:bottom w:w="85" w:type="dxa"/>
              <w:end w:w="100" w:type="dxa"/>
            </w:tcMar>
            <w:vAlign w:val="center"/>
            <w:shd w:fill="FFFFFF"/>
          </w:tcPr>
          <w:p>
            <w:r/>
            <w:r>
              <w:rPr>
                <w:b w:val="0"/>
              </w:rPr>
              <w:t>Athletes intentionally revisit or use saved evidence before competition or after adversity.</w:t>
            </w:r>
          </w:p>
        </w:tc>
      </w:tr>
      <w:tr>
        <w:tc>
          <w:tcPr>
            <w:tcW w:type="dxa" w:w="2376"/>
            <w:tcMar>
              <w:top w:w="85" w:type="dxa"/>
              <w:start w:w="100" w:type="dxa"/>
              <w:bottom w:w="85" w:type="dxa"/>
              <w:end w:w="100" w:type="dxa"/>
            </w:tcMar>
            <w:vAlign w:val="center"/>
            <w:shd w:fill="FFFFFF"/>
          </w:tcPr>
          <w:p>
            <w:r/>
            <w:r>
              <w:rPr>
                <w:b w:val="0"/>
              </w:rPr>
              <w:t>Coach reinforcement</w:t>
            </w:r>
          </w:p>
        </w:tc>
        <w:tc>
          <w:tcPr>
            <w:tcW w:type="dxa" w:w="7416"/>
            <w:tcMar>
              <w:top w:w="85" w:type="dxa"/>
              <w:start w:w="100" w:type="dxa"/>
              <w:bottom w:w="85" w:type="dxa"/>
              <w:end w:w="100" w:type="dxa"/>
            </w:tcMar>
            <w:vAlign w:val="center"/>
            <w:shd w:fill="FFFFFF"/>
          </w:tcPr>
          <w:p>
            <w:r/>
            <w:r>
              <w:rPr>
                <w:b w:val="0"/>
              </w:rPr>
              <w:t>Coach recognition and use of Practice Board focus in actual practice.</w:t>
            </w:r>
          </w:p>
        </w:tc>
      </w:tr>
      <w:tr>
        <w:tc>
          <w:tcPr>
            <w:tcW w:type="dxa" w:w="2376"/>
            <w:tcMar>
              <w:top w:w="85" w:type="dxa"/>
              <w:start w:w="100" w:type="dxa"/>
              <w:bottom w:w="85" w:type="dxa"/>
              <w:end w:w="100" w:type="dxa"/>
            </w:tcMar>
            <w:vAlign w:val="center"/>
            <w:shd w:fill="FFFFFF"/>
          </w:tcPr>
          <w:p>
            <w:r/>
            <w:r>
              <w:rPr>
                <w:b w:val="0"/>
              </w:rPr>
              <w:t>Skill transfer</w:t>
            </w:r>
          </w:p>
        </w:tc>
        <w:tc>
          <w:tcPr>
            <w:tcW w:type="dxa" w:w="7416"/>
            <w:tcMar>
              <w:top w:w="85" w:type="dxa"/>
              <w:start w:w="100" w:type="dxa"/>
              <w:bottom w:w="85" w:type="dxa"/>
              <w:end w:w="100" w:type="dxa"/>
            </w:tcMar>
            <w:vAlign w:val="center"/>
            <w:shd w:fill="FFFFFF"/>
          </w:tcPr>
          <w:p>
            <w:r/>
            <w:r>
              <w:rPr>
                <w:b w:val="0"/>
              </w:rPr>
              <w:t>YOU University skills appear later in athlete-created routines, cues, goals, or reflections.</w:t>
            </w:r>
          </w:p>
        </w:tc>
      </w:tr>
      <w:tr>
        <w:tc>
          <w:tcPr>
            <w:tcW w:type="dxa" w:w="2376"/>
            <w:tcMar>
              <w:top w:w="85" w:type="dxa"/>
              <w:start w:w="100" w:type="dxa"/>
              <w:bottom w:w="85" w:type="dxa"/>
              <w:end w:w="100" w:type="dxa"/>
            </w:tcMar>
            <w:vAlign w:val="center"/>
            <w:shd w:fill="FFFFFF"/>
          </w:tcPr>
          <w:p>
            <w:r/>
            <w:r>
              <w:rPr>
                <w:b w:val="0"/>
              </w:rPr>
              <w:t>Return friction</w:t>
            </w:r>
          </w:p>
        </w:tc>
        <w:tc>
          <w:tcPr>
            <w:tcW w:type="dxa" w:w="7416"/>
            <w:tcMar>
              <w:top w:w="85" w:type="dxa"/>
              <w:start w:w="100" w:type="dxa"/>
              <w:bottom w:w="85" w:type="dxa"/>
              <w:end w:w="100" w:type="dxa"/>
            </w:tcMar>
            <w:vAlign w:val="center"/>
            <w:shd w:fill="FFFFFF"/>
          </w:tcPr>
          <w:p>
            <w:r/>
            <w:r>
              <w:rPr>
                <w:b w:val="0"/>
              </w:rPr>
              <w:t>Athletes can miss a day and re-enter the workflow without penalties or confusing catch-up requirements.</w:t>
            </w:r>
          </w:p>
        </w:tc>
      </w:tr>
      <w:tr>
        <w:tc>
          <w:tcPr>
            <w:tcW w:type="dxa" w:w="2376"/>
            <w:tcMar>
              <w:top w:w="85" w:type="dxa"/>
              <w:start w:w="100" w:type="dxa"/>
              <w:bottom w:w="85" w:type="dxa"/>
              <w:end w:w="100" w:type="dxa"/>
            </w:tcMar>
            <w:vAlign w:val="center"/>
            <w:shd w:fill="FFFFFF"/>
          </w:tcPr>
          <w:p>
            <w:r/>
            <w:r>
              <w:rPr>
                <w:b w:val="0"/>
              </w:rPr>
              <w:t>Efficiency</w:t>
            </w:r>
          </w:p>
        </w:tc>
        <w:tc>
          <w:tcPr>
            <w:tcW w:type="dxa" w:w="7416"/>
            <w:tcMar>
              <w:top w:w="85" w:type="dxa"/>
              <w:start w:w="100" w:type="dxa"/>
              <w:bottom w:w="85" w:type="dxa"/>
              <w:end w:w="100" w:type="dxa"/>
            </w:tcMar>
            <w:vAlign w:val="center"/>
            <w:shd w:fill="FFFFFF"/>
          </w:tcPr>
          <w:p>
            <w:r/>
            <w:r>
              <w:rPr>
                <w:b w:val="0"/>
              </w:rPr>
              <w:t>Typical daily phone interaction remains brief; increased screen time is not treated as success.</w:t>
            </w:r>
          </w:p>
        </w:tc>
      </w:tr>
    </w:tbl>
    <w:p>
      <w:pPr>
        <w:pStyle w:val="Heading2"/>
      </w:pPr>
      <w:r>
        <w:t>21.6 Evidence added in Version 1.1</w:t>
      </w:r>
    </w:p>
    <w:p>
      <w:pPr>
        <w:pStyle w:val="ListBullet"/>
      </w:pPr>
      <w:r>
        <w:t>Reward prediction error neuroscience supports the role of dopamine in learning from differences between expected and received outcomes. It does not justify simplistic claims that a UI element can guarantee a dopamine hit.</w:t>
      </w:r>
    </w:p>
    <w:p>
      <w:pPr>
        <w:pStyle w:val="ListBullet"/>
      </w:pPr>
      <w:r>
        <w:t>Adolescent social-reward studies show that visible peer approval can recruit reward circuitry and shape behavior, which is one reason this product avoids public likes and popularity metrics.</w:t>
      </w:r>
    </w:p>
    <w:p>
      <w:pPr>
        <w:pStyle w:val="ListBullet"/>
      </w:pPr>
      <w:r>
        <w:t>Self-Determination Theory research supports autonomy, competence, and relatedness as a useful developmental framework for adolescent digital experiences.</w:t>
      </w:r>
    </w:p>
    <w:p>
      <w:pPr>
        <w:pStyle w:val="ListBullet"/>
      </w:pPr>
      <w:r>
        <w:t>A 2025 meta-analysis of persuasive design across 92 randomized mental-health-app trials found no simple relationship where adding more persuasive principles automatically increased engagement or efficacy. More persuasive mechanics are not automatically better.</w:t>
      </w:r>
    </w:p>
    <w:p>
      <w:pPr>
        <w:pStyle w:val="ListBullet"/>
      </w:pPr>
      <w:r>
        <w:t>FTC dark-pattern guidance reinforces the boundary against interfaces that subvert autonomy or exploit children to increase time, purchases, or data collection.</w:t>
      </w:r>
    </w:p>
    <w:p>
      <w:pPr>
        <w:pStyle w:val="Heading1"/>
        <w:pageBreakBefore w:val="0"/>
      </w:pPr>
      <w:r>
        <w:t>Appendix B - Starter Athlete-Facing Language Bank</w:t>
      </w:r>
    </w:p>
    <w:p>
      <w:pPr>
        <w:widowControl/>
        <w:spacing w:after="80" w:before="0" w:line="259" w:lineRule="auto"/>
      </w:pPr>
      <w:r>
        <w:rPr>
          <w:rFonts w:ascii="Arial" w:hAnsi="Arial"/>
          <w:i w:val="0"/>
          <w:color w:val="1E2730"/>
        </w:rPr>
        <w:t>This is a safe starting bank for prototype content. Technique-specific terms should be replaced or expanded by actual Merrill terminology as the coaches define it.</w:t>
      </w:r>
    </w:p>
    <w:tbl>
      <w:tblPr>
        <w:tblStyle w:val="TableGrid"/>
        <w:tblW w:type="auto" w:w="0"/>
        <w:jc w:val="center"/>
        <w:tblLayout w:type="fixed"/>
        <w:tblLook w:firstColumn="1" w:firstRow="1" w:lastColumn="0" w:lastRow="0" w:noHBand="0" w:noVBand="1" w:val="04A0"/>
      </w:tblPr>
      <w:tblGrid>
        <w:gridCol w:w="5083"/>
        <w:gridCol w:w="5083"/>
      </w:tblGrid>
      <w:tr>
        <w:trPr>
          <w:trHeight w:hRule="auto"/>
          <w:tblHeader w:val="true"/>
          <w:cantSplit/>
        </w:trPr>
        <w:tc>
          <w:tcPr>
            <w:tcW w:type="dxa" w:w="2448"/>
            <w:shd w:fill="17324D"/>
            <w:tcMar>
              <w:top w:w="90" w:type="dxa"/>
              <w:start w:w="100" w:type="dxa"/>
              <w:bottom w:w="90" w:type="dxa"/>
              <w:end w:w="100" w:type="dxa"/>
            </w:tcMar>
            <w:vAlign w:val="center"/>
          </w:tcPr>
          <w:p>
            <w:pPr>
              <w:widowControl/>
              <w:jc w:val="left"/>
            </w:pPr>
            <w:r>
              <w:rPr>
                <w:rFonts w:ascii="Arial" w:hAnsi="Arial"/>
                <w:b/>
                <w:color w:val="FFFFFF"/>
                <w:sz w:val="18"/>
              </w:rPr>
              <w:t>Bucket</w:t>
            </w:r>
          </w:p>
        </w:tc>
        <w:tc>
          <w:tcPr>
            <w:tcW w:type="dxa" w:w="7343"/>
            <w:shd w:fill="17324D"/>
            <w:tcMar>
              <w:top w:w="90" w:type="dxa"/>
              <w:start w:w="100" w:type="dxa"/>
              <w:bottom w:w="90" w:type="dxa"/>
              <w:end w:w="100" w:type="dxa"/>
            </w:tcMar>
            <w:vAlign w:val="center"/>
          </w:tcPr>
          <w:p>
            <w:pPr>
              <w:widowControl/>
              <w:jc w:val="left"/>
            </w:pPr>
            <w:r>
              <w:rPr>
                <w:rFonts w:ascii="Arial" w:hAnsi="Arial"/>
                <w:b/>
                <w:color w:val="FFFFFF"/>
                <w:sz w:val="18"/>
              </w:rPr>
              <w:t>Starter language</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Identity / Pillars</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Persistent; Consistent; Resilient; Relentless; Respectful</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Five Cs</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Commitment; Courage; Concentration; Control; Confidence</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Focus</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First contact; good stance; clean technique; finish the rep; hand-fight with purpose; fast reset; listen and adjust</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Show up</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Calm and confident; focused; aggressive but controlled; coachable; patient and active; compete every rep</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Reset</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Breathe; center; next exchange; one job; back to my wrestling</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Went Well</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 stayed composed; I corrected it; I kept wrestling; I used my setup; I helped a teammate; I finished strong</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Improve</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Move my feet; get to my setup sooner; stay lower; reset faster; keep pressure; ask for feedback</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Confidence evidence</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I did it in live; coach noticed; I handled a hard position; I came back after a mistake; I repeated it under pressure</w:t>
            </w:r>
          </w:p>
        </w:tc>
      </w:tr>
      <w:tr>
        <w:trPr>
          <w:cantSplit/>
          <w:trHeight w:hRule="auto"/>
        </w:trPr>
        <w:tc>
          <w:tcPr>
            <w:tcW w:type="dxa" w:w="2448"/>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Gratitude</w:t>
            </w:r>
          </w:p>
        </w:tc>
        <w:tc>
          <w:tcPr>
            <w:tcW w:type="dxa" w:w="7343"/>
            <w:tcMar>
              <w:top w:w="85" w:type="dxa"/>
              <w:start w:w="100" w:type="dxa"/>
              <w:bottom w:w="85" w:type="dxa"/>
              <w:end w:w="100" w:type="dxa"/>
            </w:tcMar>
            <w:vAlign w:val="center"/>
            <w:shd w:fill="FFFFFF"/>
          </w:tcPr>
          <w:p>
            <w:pPr>
              <w:widowControl/>
              <w:spacing w:after="0" w:line="245" w:lineRule="auto"/>
            </w:pPr>
            <w:r>
              <w:rPr>
                <w:rFonts w:ascii="Arial" w:hAnsi="Arial"/>
                <w:color w:val="1E2730"/>
                <w:sz w:val="17"/>
              </w:rPr>
              <w:t>Teammate; coach feedback; healthy body; family; opportunity; competition; someone who pushed me</w:t>
            </w:r>
          </w:p>
        </w:tc>
      </w:tr>
    </w:tbl>
    <w:p>
      <w:pPr>
        <w:spacing w:after="20"/>
      </w:pPr>
    </w:p>
    <w:p>
      <w:pPr>
        <w:pStyle w:val="Heading1"/>
        <w:pageBreakBefore w:val="0"/>
      </w:pPr>
      <w:r>
        <w:t>Appendix D - Evidence Source Register</w:t>
      </w:r>
    </w:p>
    <w:p>
      <w:pPr>
        <w:widowControl/>
        <w:spacing w:after="80" w:before="0" w:line="259" w:lineRule="auto"/>
      </w:pPr>
      <w:r>
        <w:t>These sources guide the methods, safety boundaries, and product decisions. They are not athlete-facing copy and should be revisited when the curriculum is materially changed.</w:t>
      </w:r>
    </w:p>
    <w:tbl>
      <w:tblPr>
        <w:tblStyle w:val="TableGrid"/>
        <w:tblW w:type="auto" w:w="0"/>
        <w:jc w:val="center"/>
        <w:tblLayout w:type="fixed"/>
        <w:tblLook w:firstColumn="1" w:firstRow="1" w:lastColumn="0" w:lastRow="0" w:noHBand="0" w:noVBand="1" w:val="04A0"/>
      </w:tblPr>
      <w:tblGrid>
        <w:gridCol w:w="3389"/>
        <w:gridCol w:w="3389"/>
        <w:gridCol w:w="3389"/>
      </w:tblGrid>
      <w:tr>
        <w:trPr>
          <w:trHeight w:hRule="auto"/>
          <w:tblHeader w:val="true"/>
          <w:cantSplit/>
        </w:trPr>
        <w:tc>
          <w:tcPr>
            <w:tcW w:type="dxa" w:w="3024"/>
            <w:shd w:fill="17324D"/>
            <w:tcMar>
              <w:top w:w="90" w:type="dxa"/>
              <w:start w:w="100" w:type="dxa"/>
              <w:bottom w:w="90" w:type="dxa"/>
              <w:end w:w="100" w:type="dxa"/>
            </w:tcMar>
            <w:vAlign w:val="center"/>
          </w:tcPr>
          <w:p>
            <w:pPr>
              <w:widowControl/>
              <w:jc w:val="left"/>
            </w:pPr>
            <w:r>
              <w:rPr>
                <w:rFonts w:ascii="Arial" w:hAnsi="Arial"/>
                <w:b/>
                <w:color w:val="FFFFFF"/>
                <w:sz w:val="18"/>
              </w:rPr>
              <w:t>Source</w:t>
            </w:r>
          </w:p>
        </w:tc>
        <w:tc>
          <w:tcPr>
            <w:tcW w:type="dxa" w:w="3960"/>
            <w:shd w:fill="17324D"/>
            <w:tcMar>
              <w:top w:w="90" w:type="dxa"/>
              <w:start w:w="100" w:type="dxa"/>
              <w:bottom w:w="90" w:type="dxa"/>
              <w:end w:w="100" w:type="dxa"/>
            </w:tcMar>
            <w:vAlign w:val="center"/>
          </w:tcPr>
          <w:p>
            <w:pPr>
              <w:widowControl/>
              <w:jc w:val="left"/>
            </w:pPr>
            <w:r>
              <w:rPr>
                <w:rFonts w:ascii="Arial" w:hAnsi="Arial"/>
                <w:b/>
                <w:color w:val="FFFFFF"/>
                <w:sz w:val="18"/>
              </w:rPr>
              <w:t>URL</w:t>
            </w:r>
          </w:p>
        </w:tc>
        <w:tc>
          <w:tcPr>
            <w:tcW w:type="dxa" w:w="2808"/>
            <w:shd w:fill="17324D"/>
            <w:tcMar>
              <w:top w:w="90" w:type="dxa"/>
              <w:start w:w="100" w:type="dxa"/>
              <w:bottom w:w="90" w:type="dxa"/>
              <w:end w:w="100" w:type="dxa"/>
            </w:tcMar>
            <w:vAlign w:val="center"/>
          </w:tcPr>
          <w:p>
            <w:pPr>
              <w:widowControl/>
              <w:jc w:val="left"/>
            </w:pPr>
            <w:r>
              <w:rPr>
                <w:rFonts w:ascii="Arial" w:hAnsi="Arial"/>
                <w:b/>
                <w:color w:val="FFFFFF"/>
                <w:sz w:val="18"/>
              </w:rPr>
              <w:t>Why it is in the compendium</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USOPC - Mental Performance at Team USA</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https://www.usopc.org/mental-performance</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Core trainable mental skills: attention, confidence, emotion/energy regulation, goals, imagery, self-talk, routines, mindfulness, motivation, team dynamics.</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USOPC - Sleep</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https://www.usopc.org/sleep</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Athlete sleep education, adolescent sleep range, recovery and performance considerations.</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Australian Institute of Sport - Mental Performance in Competition</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https://www.ais.gov.au/mental_performance_competition</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Sport-specific mental performance curriculum and daily-training-to-competition integration.</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UK Sports Institute - Sports Psychology</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https://uksportsinstitute.co.uk/service/psychology/</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Process focus, shared language, standards, reflection, challenge/support, psychological safety, learning from failure.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Williamson et al. - Goal-setting systematic review/meta-analysis</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https://www.tandfonline.com/doi/full/10.1080/1750984X.2022.2116723</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Process goals showed the strongest performance effects among goal types in the included literature.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Rupprecht et al. - Pre-performance routines meta-analysis</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https://www.tandfonline.com/doi/full/10.1080/1750984X.2021.1944271</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Supports systematic task-relevant routines before performance, including under pressure.</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Liu et al. - Imagery practice meta-analysis (2025)</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https://pubmed.ncbi.nlm.nih.gov/40426460/</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Supports imagery practice as part of athletic-performance training, especially when integrated with other psychological skills.</w:t>
            </w:r>
          </w:p>
        </w:tc>
      </w:tr>
      <w:tr>
        <w:trPr>
          <w:cantSplit/>
          <w:trHeight w:hRule="auto"/>
        </w:trPr>
        <w:tc>
          <w:tcPr>
            <w:tcW w:type="dxa" w:w="3024"/>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U.S. Center for SafeSport - Electronic Communications Policy</w:t>
            </w:r>
          </w:p>
        </w:tc>
        <w:tc>
          <w:tcPr>
            <w:tcW w:type="dxa" w:w="3960"/>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https://maapp.uscenterforsafesport.org/</w:t>
            </w:r>
          </w:p>
        </w:tc>
        <w:tc>
          <w:tcPr>
            <w:tcW w:type="dxa" w:w="2808"/>
            <w:tcMar>
              <w:top w:w="85" w:type="dxa"/>
              <w:start w:w="100" w:type="dxa"/>
              <w:bottom w:w="85" w:type="dxa"/>
              <w:end w:w="100" w:type="dxa"/>
            </w:tcMar>
            <w:vAlign w:val="center"/>
            <w:shd w:fill="FFFFFF"/>
          </w:tcPr>
          <w:p>
            <w:pPr>
              <w:widowControl/>
              <w:spacing w:after="0" w:line="245" w:lineRule="auto"/>
            </w:pPr>
            <w:r>
              <w:rPr>
                <w:rFonts w:ascii="Arial" w:hAnsi="Arial"/>
                <w:color w:val="1E2730"/>
                <w:sz w:val="15"/>
              </w:rPr>
              <w:t>Youth electronic-communication boundaries and open-and-transparent expectations.</w:t>
            </w:r>
          </w:p>
        </w:tc>
      </w:tr>
      <w:tr>
        <w:tc>
          <w:tcPr>
            <w:tcW w:type="dxa" w:w="3389"/>
          </w:tcPr>
          <w:p>
            <w:r>
              <w:t>U.S. Department of Veterans Affairs - EMDR for PTSD</w:t>
            </w:r>
          </w:p>
        </w:tc>
        <w:tc>
          <w:tcPr>
            <w:tcW w:type="dxa" w:w="3389"/>
          </w:tcPr>
          <w:p>
            <w:r>
              <w:t>https://www.ptsd.va.gov/professional/treat/txessentials/emdr_pro.asp</w:t>
            </w:r>
          </w:p>
        </w:tc>
        <w:tc>
          <w:tcPr>
            <w:tcW w:type="dxa" w:w="3389"/>
          </w:tcPr>
          <w:p>
            <w:r>
              <w:t>Defines EMDR as a multi-phase trauma psychotherapy, summarizes evidence, bilateral-stimulation methods, and uncertainty about mechanism.</w:t>
            </w:r>
          </w:p>
        </w:tc>
      </w:tr>
      <w:tr>
        <w:tc>
          <w:tcPr>
            <w:tcW w:type="dxa" w:w="3389"/>
          </w:tcPr>
          <w:p>
            <w:r>
              <w:t>EMDR International Association - Virtual EMDR Guidelines</w:t>
            </w:r>
          </w:p>
        </w:tc>
        <w:tc>
          <w:tcPr>
            <w:tcW w:type="dxa" w:w="3389"/>
          </w:tcPr>
          <w:p>
            <w:r>
              <w:t>https://www.emdria.org/resource/virtualemdrguidelinesreport/</w:t>
            </w:r>
          </w:p>
        </w:tc>
        <w:tc>
          <w:tcPr>
            <w:tcW w:type="dxa" w:w="3389"/>
          </w:tcPr>
          <w:p>
            <w:r>
              <w:t>Establishes the professional boundary that EMDR therapy is clinician-administered and warns against self-administered EMDR.</w:t>
            </w:r>
          </w:p>
        </w:tc>
      </w:tr>
      <w:tr>
        <w:trPr>
          <w:cantSplit/>
          <w:trHeight w:hRule="auto"/>
        </w:trPr>
        <w:tc>
          <w:tcPr>
            <w:tcW w:type="dxa" w:w="3024"/>
            <w:tcMar>
              <w:top w:w="85" w:type="dxa"/>
              <w:start w:w="100" w:type="dxa"/>
              <w:bottom w:w="85" w:type="dxa"/>
              <w:end w:w="100" w:type="dxa"/>
            </w:tcMar>
            <w:vAlign w:val="center"/>
            <w:shd w:fill="FFFFFF"/>
          </w:tcPr>
          <w:p>
            <w:r>
              <w:t>Watabe-Uchida et al. - Neural Circuitry of Reward Prediction Error</w:t>
            </w:r>
          </w:p>
        </w:tc>
        <w:tc>
          <w:tcPr>
            <w:tcW w:type="dxa" w:w="3960"/>
            <w:tcMar>
              <w:top w:w="85" w:type="dxa"/>
              <w:start w:w="100" w:type="dxa"/>
              <w:bottom w:w="85" w:type="dxa"/>
              <w:end w:w="100" w:type="dxa"/>
            </w:tcMar>
            <w:vAlign w:val="center"/>
            <w:shd w:fill="FFFFFF"/>
          </w:tcPr>
          <w:p>
            <w:r>
              <w:t>https://www.annualreviews.org/content/journals/10.1146/annurev-neuro-072116-031109</w:t>
            </w:r>
          </w:p>
        </w:tc>
        <w:tc>
          <w:tcPr>
            <w:tcW w:type="dxa" w:w="2808"/>
            <w:tcMar>
              <w:top w:w="85" w:type="dxa"/>
              <w:start w:w="100" w:type="dxa"/>
              <w:bottom w:w="85" w:type="dxa"/>
              <w:end w:w="100" w:type="dxa"/>
            </w:tcMar>
            <w:vAlign w:val="center"/>
            <w:shd w:fill="FFFFFF"/>
          </w:tcPr>
          <w:p>
            <w:r>
              <w:t>Dopamine reward-prediction-error model and learning; guards against simplistic "dopamine hit" claims.</w:t>
            </w:r>
          </w:p>
        </w:tc>
      </w:tr>
      <w:tr>
        <w:trPr>
          <w:cantSplit/>
          <w:trHeight w:hRule="auto"/>
        </w:trPr>
        <w:tc>
          <w:tcPr>
            <w:tcW w:type="dxa" w:w="3024"/>
            <w:tcMar>
              <w:top w:w="85" w:type="dxa"/>
              <w:start w:w="100" w:type="dxa"/>
              <w:bottom w:w="85" w:type="dxa"/>
              <w:end w:w="100" w:type="dxa"/>
            </w:tcMar>
            <w:vAlign w:val="center"/>
            <w:shd w:fill="FFFFFF"/>
          </w:tcPr>
          <w:p>
            <w:r>
              <w:t>Sherman et al. - The Power of the Like in Adolescence</w:t>
            </w:r>
          </w:p>
        </w:tc>
        <w:tc>
          <w:tcPr>
            <w:tcW w:type="dxa" w:w="3960"/>
            <w:tcMar>
              <w:top w:w="85" w:type="dxa"/>
              <w:start w:w="100" w:type="dxa"/>
              <w:bottom w:w="85" w:type="dxa"/>
              <w:end w:w="100" w:type="dxa"/>
            </w:tcMar>
            <w:vAlign w:val="center"/>
            <w:shd w:fill="FFFFFF"/>
          </w:tcPr>
          <w:p>
            <w:r>
              <w:t>https://pmc.ncbi.nlm.nih.gov/articles/PMC5387999/</w:t>
            </w:r>
          </w:p>
        </w:tc>
        <w:tc>
          <w:tcPr>
            <w:tcW w:type="dxa" w:w="2808"/>
            <w:tcMar>
              <w:top w:w="85" w:type="dxa"/>
              <w:start w:w="100" w:type="dxa"/>
              <w:bottom w:w="85" w:type="dxa"/>
              <w:end w:w="100" w:type="dxa"/>
            </w:tcMar>
            <w:vAlign w:val="center"/>
            <w:shd w:fill="FFFFFF"/>
          </w:tcPr>
          <w:p>
            <w:r>
              <w:t>Shows peer endorsement can influence adolescent behavior and reward-related neural response.</w:t>
            </w:r>
          </w:p>
        </w:tc>
      </w:tr>
      <w:tr>
        <w:trPr>
          <w:cantSplit/>
          <w:trHeight w:hRule="auto"/>
        </w:trPr>
        <w:tc>
          <w:tcPr>
            <w:tcW w:type="dxa" w:w="3024"/>
            <w:tcMar>
              <w:top w:w="85" w:type="dxa"/>
              <w:start w:w="100" w:type="dxa"/>
              <w:bottom w:w="85" w:type="dxa"/>
              <w:end w:w="100" w:type="dxa"/>
            </w:tcMar>
            <w:vAlign w:val="center"/>
            <w:shd w:fill="FFFFFF"/>
          </w:tcPr>
          <w:p>
            <w:r>
              <w:t>Valentine et al. - Persuasive design meta-analysis (2025)</w:t>
            </w:r>
          </w:p>
        </w:tc>
        <w:tc>
          <w:tcPr>
            <w:tcW w:type="dxa" w:w="3960"/>
            <w:tcMar>
              <w:top w:w="85" w:type="dxa"/>
              <w:start w:w="100" w:type="dxa"/>
              <w:bottom w:w="85" w:type="dxa"/>
              <w:end w:w="100" w:type="dxa"/>
            </w:tcMar>
            <w:vAlign w:val="center"/>
            <w:shd w:fill="FFFFFF"/>
          </w:tcPr>
          <w:p>
            <w:r>
              <w:t>https://www.nature.com/articles/s41746-025-01567-5</w:t>
            </w:r>
          </w:p>
        </w:tc>
        <w:tc>
          <w:tcPr>
            <w:tcW w:type="dxa" w:w="2808"/>
            <w:tcMar>
              <w:top w:w="85" w:type="dxa"/>
              <w:start w:w="100" w:type="dxa"/>
              <w:bottom w:w="85" w:type="dxa"/>
              <w:end w:w="100" w:type="dxa"/>
            </w:tcMar>
            <w:vAlign w:val="center"/>
            <w:shd w:fill="FFFFFF"/>
          </w:tcPr>
          <w:p>
            <w:r>
              <w:t>92 RCTs; persuasive-design quantity did not show a simple association with engagement or efficacy; supports purposeful rather than maximal persuasion.</w:t>
            </w:r>
          </w:p>
        </w:tc>
      </w:tr>
      <w:tr>
        <w:trPr>
          <w:cantSplit/>
          <w:trHeight w:hRule="auto"/>
        </w:trPr>
        <w:tc>
          <w:tcPr>
            <w:tcW w:type="dxa" w:w="3024"/>
            <w:tcMar>
              <w:top w:w="85" w:type="dxa"/>
              <w:start w:w="100" w:type="dxa"/>
              <w:bottom w:w="85" w:type="dxa"/>
              <w:end w:w="100" w:type="dxa"/>
            </w:tcMar>
            <w:vAlign w:val="center"/>
            <w:shd w:fill="FFFFFF"/>
          </w:tcPr>
          <w:p>
            <w:r>
              <w:t>Adolescent social media through Self-Determination Theory</w:t>
            </w:r>
          </w:p>
        </w:tc>
        <w:tc>
          <w:tcPr>
            <w:tcW w:type="dxa" w:w="3960"/>
            <w:tcMar>
              <w:top w:w="85" w:type="dxa"/>
              <w:start w:w="100" w:type="dxa"/>
              <w:bottom w:w="85" w:type="dxa"/>
              <w:end w:w="100" w:type="dxa"/>
            </w:tcMar>
            <w:vAlign w:val="center"/>
            <w:shd w:fill="FFFFFF"/>
          </w:tcPr>
          <w:p>
            <w:r>
              <w:t>https://pubmed.ncbi.nlm.nih.gov/39063439/</w:t>
            </w:r>
          </w:p>
        </w:tc>
        <w:tc>
          <w:tcPr>
            <w:tcW w:type="dxa" w:w="2808"/>
            <w:tcMar>
              <w:top w:w="85" w:type="dxa"/>
              <w:start w:w="100" w:type="dxa"/>
              <w:bottom w:w="85" w:type="dxa"/>
              <w:end w:w="100" w:type="dxa"/>
            </w:tcMar>
            <w:vAlign w:val="center"/>
            <w:shd w:fill="FFFFFF"/>
          </w:tcPr>
          <w:p>
            <w:r>
              <w:t>Autonomy, competence, and relatedness framework for adolescent digital experiences.</w:t>
            </w:r>
          </w:p>
        </w:tc>
      </w:tr>
      <w:tr>
        <w:trPr>
          <w:cantSplit/>
          <w:trHeight w:hRule="auto"/>
        </w:trPr>
        <w:tc>
          <w:tcPr>
            <w:tcW w:type="dxa" w:w="3024"/>
            <w:tcMar>
              <w:top w:w="85" w:type="dxa"/>
              <w:start w:w="100" w:type="dxa"/>
              <w:bottom w:w="85" w:type="dxa"/>
              <w:end w:w="100" w:type="dxa"/>
            </w:tcMar>
            <w:vAlign w:val="center"/>
            <w:shd w:fill="FFFFFF"/>
          </w:tcPr>
          <w:p>
            <w:r>
              <w:t>FTC - Bringing Dark Patterns to Light</w:t>
            </w:r>
          </w:p>
        </w:tc>
        <w:tc>
          <w:tcPr>
            <w:tcW w:type="dxa" w:w="3960"/>
            <w:tcMar>
              <w:top w:w="85" w:type="dxa"/>
              <w:start w:w="100" w:type="dxa"/>
              <w:bottom w:w="85" w:type="dxa"/>
              <w:end w:w="100" w:type="dxa"/>
            </w:tcMar>
            <w:vAlign w:val="center"/>
            <w:shd w:fill="FFFFFF"/>
          </w:tcPr>
          <w:p>
            <w:r>
              <w:t>https://www.ftc.gov/news-events/news/press-releases/2022/09/ftc-report-shows-rise-sophisticated-dark-patterns-designed-trick-trap-consumers</w:t>
            </w:r>
          </w:p>
        </w:tc>
        <w:tc>
          <w:tcPr>
            <w:tcW w:type="dxa" w:w="2808"/>
            <w:tcMar>
              <w:top w:w="85" w:type="dxa"/>
              <w:start w:w="100" w:type="dxa"/>
              <w:bottom w:w="85" w:type="dxa"/>
              <w:end w:w="100" w:type="dxa"/>
            </w:tcMar>
            <w:vAlign w:val="center"/>
            <w:shd w:fill="FFFFFF"/>
          </w:tcPr>
          <w:p>
            <w:r>
              <w:t>Consumer and child-protection boundary against manipulative interfaces that impair autonomy and choice.</w:t>
            </w:r>
          </w:p>
        </w:tc>
      </w:tr>
    </w:tbl>
    <w:p>
      <w:pPr>
        <w:spacing w:after="20"/>
      </w:pP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color w:val="5C6670"/>
        <w:sz w:val="16"/>
      </w:rPr>
      <w:t xml:space="preserve">Merrill Girls Wrestling Athlete Development Platform  |  01 Product Planning Compendium  |  September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E27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2D6FA3"/>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basedOn w:val="Normal"/>
    <w:pPr>
      <w:spacing w:after="40"/>
      <w:ind w:left="317" w:hanging="173"/>
    </w:pPr>
    <w:rPr>
      <w:rFonts w:ascii="Arial" w:hAnsi="Arial"/>
      <w:sz w:val="21"/>
    </w:rPr>
  </w:style>
  <w:style w:type="paragraph" w:customStyle="1" w:styleId="SmallNote">
    <w:name w:val="Small Note"/>
    <w:basedOn w:val="Normal"/>
    <w:pPr>
      <w:spacing w:after="60" w:line="247" w:lineRule="auto"/>
    </w:pPr>
    <w:rPr>
      <w:rFonts w:ascii="Arial" w:hAnsi="Arial"/>
      <w:color w:val="60717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Merrill Girls Wrestling Athlete Development Platform - Planning Compendium</dc:title>
  <dc:subject>Planning source of truth for rebuilding the girls wrestling athlete-development application</dc:subject>
  <dc:creator>Josh Stutting / OpenAI planning support</dc:creator>
  <cp:keywords>girls wrestling, athlete development, mental performance, planning, Merrill, YOU University</cp:keywords>
  <dc:description>generated by python-docx</dc:description>
  <cp:lastModifiedBy/>
  <cp:revision>1</cp:revision>
  <dcterms:created xsi:type="dcterms:W3CDTF">2013-12-23T23:15:00Z</dcterms:created>
  <dcterms:modified xsi:type="dcterms:W3CDTF">2013-12-23T23:15:00Z</dcterms:modified>
  <cp:category/>
</cp:coreProperties>
</file>