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Times New Roman" w:cs="Times New Roman" w:eastAsia="Times New Roman" w:hAnsi="Times New Roman"/>
          <w:b/>
          <w:bCs/>
          <w:color w:val="1F3864"/>
          <w:sz w:val="48"/>
          <w:szCs w:val="48"/>
        </w:rPr>
        <w:t xml:space="preserve">Data Lake médical : de l'ECG à l'EEG</w:t>
      </w:r>
    </w:p>
    <w:p>
      <w:pPr>
        <w:spacing w:after="600"/>
        <w:jc w:val="center"/>
      </w:pPr>
      <w:r>
        <w:rPr>
          <w:rFonts w:ascii="Times New Roman" w:cs="Times New Roman" w:eastAsia="Times New Roman" w:hAnsi="Times New Roman"/>
          <w:i/>
          <w:iCs/>
          <w:color w:val="808080"/>
          <w:sz w:val="28"/>
          <w:szCs w:val="28"/>
        </w:rPr>
        <w:t xml:space="preserve">Ingestion, transformation, Machine Learning et exposition via API</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INSÉRER UNE IMAGE DE COUVERTURE — ex. un tracé ECG/EEG stylisé ou un schéma d'architecture ]</w:t>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Mar>
              <w:top w:type="dxa" w:w="80"/>
              <w:left w:type="dxa" w:w="120"/>
              <w:bottom w:type="dxa" w:w="80"/>
              <w:right w:type="dxa" w:w="120"/>
            </w:tcMar>
          </w:tcPr>
          <w:p>
            <w:r>
              <w:rPr>
                <w:rFonts w:ascii="Times New Roman" w:cs="Times New Roman" w:eastAsia="Times New Roman" w:hAnsi="Times New Roman"/>
                <w:b/>
                <w:bCs/>
                <w:sz w:val="22"/>
                <w:szCs w:val="22"/>
              </w:rPr>
              <w:t xml:space="preserve">Étudiant :</w:t>
            </w:r>
          </w:p>
        </w:tc>
        <w:tc>
          <w:tcPr>
            <w:tcW w:type="dxa" w:w="3120"/>
            <w:tcMar>
              <w:top w:type="dxa" w:w="80"/>
              <w:left w:type="dxa" w:w="120"/>
              <w:bottom w:type="dxa" w:w="80"/>
              <w:right w:type="dxa" w:w="120"/>
            </w:tcMar>
          </w:tcPr>
          <w:p>
            <w:r>
              <w:rPr>
                <w:rFonts w:ascii="Times New Roman" w:cs="Times New Roman" w:eastAsia="Times New Roman" w:hAnsi="Times New Roman"/>
                <w:b/>
                <w:bCs/>
                <w:sz w:val="22"/>
                <w:szCs w:val="22"/>
              </w:rPr>
              <w:t xml:space="preserve">Professeur :</w:t>
            </w:r>
          </w:p>
        </w:tc>
        <w:tc>
          <w:tcPr>
            <w:tcW w:type="dxa" w:w="3120"/>
            <w:tcMar>
              <w:top w:type="dxa" w:w="80"/>
              <w:left w:type="dxa" w:w="120"/>
              <w:bottom w:type="dxa" w:w="80"/>
              <w:right w:type="dxa" w:w="120"/>
            </w:tcMar>
          </w:tcPr>
          <w:p>
            <w:r>
              <w:rPr>
                <w:rFonts w:ascii="Times New Roman" w:cs="Times New Roman" w:eastAsia="Times New Roman" w:hAnsi="Times New Roman"/>
                <w:b/>
                <w:bCs/>
                <w:sz w:val="22"/>
                <w:szCs w:val="22"/>
              </w:rPr>
              <w:t xml:space="preserve">Date :</w:t>
            </w:r>
          </w:p>
        </w:tc>
      </w:tr>
      <w:tr>
        <w:tc>
          <w:tcPr>
            <w:tcW w:type="dxa" w:w="312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[VOTRE NOM]</w:t>
            </w:r>
          </w:p>
        </w:tc>
        <w:tc>
          <w:tcPr>
            <w:tcW w:type="dxa" w:w="312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Yvann VINCENT</w:t>
            </w:r>
          </w:p>
        </w:tc>
        <w:tc>
          <w:tcPr>
            <w:tcW w:type="dxa" w:w="3120"/>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[DATE DE RENDU]</w:t>
            </w:r>
          </w:p>
        </w:tc>
      </w:tr>
    </w:tbl>
    <w:p>
      <w:r>
        <w:br w:type="page"/>
      </w:r>
    </w:p>
    <w:p>
      <w:pPr>
        <w:pStyle w:val="Heading1"/>
        <w:spacing w:after="200" w:before="360"/>
      </w:pPr>
      <w:r>
        <w:rPr>
          <w:rFonts w:ascii="Times New Roman" w:cs="Times New Roman" w:eastAsia="Times New Roman" w:hAnsi="Times New Roman"/>
          <w:b/>
          <w:bCs/>
          <w:color w:val="1F3864"/>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rPr>
          <w:rFonts w:ascii="Times New Roman" w:cs="Times New Roman" w:eastAsia="Times New Roman" w:hAnsi="Times New Roman"/>
          <w:i/>
          <w:iCs/>
          <w:color w:val="808080"/>
          <w:sz w:val="18"/>
          <w:szCs w:val="18"/>
        </w:rPr>
        <w:t xml:space="preserve">(Dans Word : clic droit sur le sommaire → « Mettre à jour les champs » pour générer les numéros de page.)</w:t>
      </w:r>
    </w:p>
    <w:p>
      <w:r>
        <w:br w:type="page"/>
      </w:r>
    </w:p>
    <w:p>
      <w:pPr>
        <w:pStyle w:val="Heading1"/>
        <w:spacing w:after="200" w:before="360"/>
      </w:pPr>
      <w:r>
        <w:rPr>
          <w:rFonts w:ascii="Times New Roman" w:cs="Times New Roman" w:eastAsia="Times New Roman" w:hAnsi="Times New Roman"/>
          <w:b/>
          <w:bCs/>
          <w:color w:val="1F3864"/>
          <w:sz w:val="32"/>
          <w:szCs w:val="32"/>
        </w:rPr>
        <w:t xml:space="preserve">0. Comment lancer ce projet</w:t>
      </w:r>
    </w:p>
    <w:p>
      <w:pPr>
        <w:spacing w:after="160" w:line="276"/>
        <w:jc w:val="both"/>
      </w:pPr>
      <w:r>
        <w:rPr>
          <w:rFonts w:ascii="Times New Roman" w:cs="Times New Roman" w:eastAsia="Times New Roman" w:hAnsi="Times New Roman"/>
          <w:sz w:val="22"/>
          <w:szCs w:val="22"/>
        </w:rPr>
        <w:t xml:space="preserve">Ce projet se lance en local grâce à Docker. Les commandes ci-dessous démarrent l'entrepôt de fichiers (MinIO) et la base de données (PostgreSQL), installent les dépendances Python, puis exécutent le pipeline et l'API.</w:t>
      </w:r>
    </w:p>
    <w:p>
      <w:pPr>
        <w:pStyle w:val="Heading2"/>
        <w:spacing w:after="140" w:before="240"/>
      </w:pPr>
      <w:r>
        <w:rPr>
          <w:rFonts w:ascii="Times New Roman" w:cs="Times New Roman" w:eastAsia="Times New Roman" w:hAnsi="Times New Roman"/>
          <w:b/>
          <w:bCs/>
          <w:color w:val="2E74B5"/>
          <w:sz w:val="26"/>
          <w:szCs w:val="26"/>
        </w:rPr>
        <w:t xml:space="preserve">Prérequis</w:t>
      </w:r>
    </w:p>
    <w:p>
      <w:pPr>
        <w:pStyle w:val="ListParagraph"/>
        <w:numPr>
          <w:ilvl w:val="0"/>
          <w:numId w:val="1"/>
        </w:numPr>
        <w:spacing w:after="100" w:line="276"/>
      </w:pPr>
      <w:r>
        <w:rPr>
          <w:rFonts w:ascii="Times New Roman" w:cs="Times New Roman" w:eastAsia="Times New Roman" w:hAnsi="Times New Roman"/>
          <w:sz w:val="22"/>
          <w:szCs w:val="22"/>
        </w:rPr>
        <w:t xml:space="preserve">Docker Desktop (pour les services).</w:t>
      </w:r>
    </w:p>
    <w:p>
      <w:pPr>
        <w:pStyle w:val="ListParagraph"/>
        <w:numPr>
          <w:ilvl w:val="0"/>
          <w:numId w:val="1"/>
        </w:numPr>
        <w:spacing w:after="100" w:line="276"/>
      </w:pPr>
      <w:r>
        <w:rPr>
          <w:rFonts w:ascii="Times New Roman" w:cs="Times New Roman" w:eastAsia="Times New Roman" w:hAnsi="Times New Roman"/>
          <w:sz w:val="22"/>
          <w:szCs w:val="22"/>
        </w:rPr>
        <w:t xml:space="preserve">Python 3.10 ou supérieur (pour le code).</w:t>
      </w:r>
    </w:p>
    <w:p>
      <w:pPr>
        <w:pStyle w:val="Heading2"/>
        <w:spacing w:after="140" w:before="240"/>
      </w:pPr>
      <w:r>
        <w:rPr>
          <w:rFonts w:ascii="Times New Roman" w:cs="Times New Roman" w:eastAsia="Times New Roman" w:hAnsi="Times New Roman"/>
          <w:b/>
          <w:bCs/>
          <w:color w:val="2E74B5"/>
          <w:sz w:val="26"/>
          <w:szCs w:val="26"/>
        </w:rPr>
        <w:t xml:space="preserve">Étapes</w:t>
      </w:r>
    </w:p>
    <w:p>
      <w:pPr>
        <w:pStyle w:val="ListParagraph"/>
        <w:numPr>
          <w:ilvl w:val="0"/>
          <w:numId w:val="1"/>
        </w:numPr>
        <w:spacing w:after="100" w:line="276"/>
      </w:pPr>
      <w:r>
        <w:rPr>
          <w:rFonts w:ascii="Times New Roman" w:cs="Times New Roman" w:eastAsia="Times New Roman" w:hAnsi="Times New Roman"/>
          <w:sz w:val="22"/>
          <w:szCs w:val="22"/>
        </w:rPr>
        <w:t xml:space="preserve">Copier la configuration : cp .env.example .env</w:t>
      </w:r>
    </w:p>
    <w:p>
      <w:pPr>
        <w:pStyle w:val="ListParagraph"/>
        <w:numPr>
          <w:ilvl w:val="0"/>
          <w:numId w:val="1"/>
        </w:numPr>
        <w:spacing w:after="100" w:line="276"/>
      </w:pPr>
      <w:r>
        <w:rPr>
          <w:rFonts w:ascii="Times New Roman" w:cs="Times New Roman" w:eastAsia="Times New Roman" w:hAnsi="Times New Roman"/>
          <w:sz w:val="22"/>
          <w:szCs w:val="22"/>
        </w:rPr>
        <w:t xml:space="preserve">Démarrer les services : docker-compose up -d</w:t>
      </w:r>
    </w:p>
    <w:p>
      <w:pPr>
        <w:pStyle w:val="ListParagraph"/>
        <w:numPr>
          <w:ilvl w:val="0"/>
          <w:numId w:val="1"/>
        </w:numPr>
        <w:spacing w:after="100" w:line="276"/>
      </w:pPr>
      <w:r>
        <w:rPr>
          <w:rFonts w:ascii="Times New Roman" w:cs="Times New Roman" w:eastAsia="Times New Roman" w:hAnsi="Times New Roman"/>
          <w:sz w:val="22"/>
          <w:szCs w:val="22"/>
        </w:rPr>
        <w:t xml:space="preserve">Installer les dépendances : pip install -r requirements.txt</w:t>
      </w:r>
    </w:p>
    <w:p>
      <w:pPr>
        <w:pStyle w:val="ListParagraph"/>
        <w:numPr>
          <w:ilvl w:val="0"/>
          <w:numId w:val="1"/>
        </w:numPr>
        <w:spacing w:after="100" w:line="276"/>
      </w:pPr>
      <w:r>
        <w:rPr>
          <w:rFonts w:ascii="Times New Roman" w:cs="Times New Roman" w:eastAsia="Times New Roman" w:hAnsi="Times New Roman"/>
          <w:sz w:val="22"/>
          <w:szCs w:val="22"/>
        </w:rPr>
        <w:t xml:space="preserve">Créer les buckets : python -m src.storage.minio_client</w:t>
      </w:r>
    </w:p>
    <w:p>
      <w:pPr>
        <w:pStyle w:val="ListParagraph"/>
        <w:numPr>
          <w:ilvl w:val="0"/>
          <w:numId w:val="1"/>
        </w:numPr>
        <w:spacing w:after="100" w:line="276"/>
      </w:pPr>
      <w:r>
        <w:rPr>
          <w:rFonts w:ascii="Times New Roman" w:cs="Times New Roman" w:eastAsia="Times New Roman" w:hAnsi="Times New Roman"/>
          <w:sz w:val="22"/>
          <w:szCs w:val="22"/>
        </w:rPr>
        <w:t xml:space="preserve">Lancer le pipeline / l'API / le dashboard (commandes détaillées dans le README).</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À COMPLÉTER une fois les étapes 1-4 codées : commandes exactes pour lancer un DAG Airflow, démarrer l'API FastAPI et ouvrir le dashboard Streamlit. ]</w:t>
      </w:r>
    </w:p>
    <w:p>
      <w:pPr>
        <w:spacing w:after="160"/>
      </w:pPr>
      <w:r>
        <w:rPr>
          <w:rFonts w:ascii="Times New Roman" w:cs="Times New Roman" w:eastAsia="Times New Roman" w:hAnsi="Times New Roman"/>
          <w:i/>
          <w:iCs/>
          <w:color w:val="808080"/>
          <w:sz w:val="20"/>
          <w:szCs w:val="20"/>
        </w:rPr>
        <w:t xml:space="preserve">💡 Conseil de rédaction — Recopier ici la version définitive et testée des commandes de ton README, pour que le correcteur puisse builder sans galérer. Le sujet insiste beaucoup là-dessus.</w:t>
      </w:r>
    </w:p>
    <w:p>
      <w:pPr>
        <w:pStyle w:val="Heading1"/>
        <w:spacing w:after="200" w:before="360"/>
      </w:pPr>
      <w:r>
        <w:rPr>
          <w:rFonts w:ascii="Times New Roman" w:cs="Times New Roman" w:eastAsia="Times New Roman" w:hAnsi="Times New Roman"/>
          <w:b/>
          <w:bCs/>
          <w:color w:val="1F3864"/>
          <w:sz w:val="32"/>
          <w:szCs w:val="32"/>
        </w:rPr>
        <w:t xml:space="preserve">1. Pourquoi ce projet</w:t>
      </w:r>
    </w:p>
    <w:p>
      <w:pPr>
        <w:spacing w:after="160" w:line="276"/>
        <w:jc w:val="both"/>
      </w:pPr>
      <w:r>
        <w:rPr>
          <w:rFonts w:ascii="Times New Roman" w:cs="Times New Roman" w:eastAsia="Times New Roman" w:hAnsi="Times New Roman"/>
          <w:sz w:val="22"/>
          <w:szCs w:val="22"/>
        </w:rPr>
        <w:t xml:space="preserve">J'ai choisi de construire un data lake sur des signaux physiologiques médicaux (électrocardiogrammes et électroencéphalogrammes) plutôt que sur un jeu de données générique. C'est un domaine où les données sont réellement hétérogènes — des signaux temporels multicanaux, volumineux, au format binaire — ce qui correspond exactement à ce qu'un data lake est censé savoir gérer et valoriser.</w:t>
      </w:r>
    </w:p>
    <w:p>
      <w:pPr>
        <w:spacing w:after="160" w:line="276"/>
        <w:jc w:val="both"/>
      </w:pPr>
      <w:r>
        <w:rPr>
          <w:rFonts w:ascii="Times New Roman" w:cs="Times New Roman" w:eastAsia="Times New Roman" w:hAnsi="Times New Roman"/>
          <w:sz w:val="22"/>
          <w:szCs w:val="22"/>
        </w:rPr>
        <w:t xml:space="preserve">Au-delà de la simple validation des acquis du cours, mon objectif était de construire une plateforme qui ne soit pas jetable : une infrastructure d'ingestion générique dans laquelle on peut brancher plusieurs sources de nature différente sans tout réécrire. C'est le fil directeur de tout le projet.</w:t>
      </w:r>
    </w:p>
    <w:p>
      <w:pPr>
        <w:pStyle w:val="Heading2"/>
        <w:spacing w:after="140" w:before="240"/>
      </w:pPr>
      <w:r>
        <w:rPr>
          <w:rFonts w:ascii="Times New Roman" w:cs="Times New Roman" w:eastAsia="Times New Roman" w:hAnsi="Times New Roman"/>
          <w:b/>
          <w:bCs/>
          <w:color w:val="2E74B5"/>
          <w:sz w:val="26"/>
          <w:szCs w:val="26"/>
        </w:rPr>
        <w:t xml:space="preserve">1.1 La question de départ</w:t>
      </w:r>
    </w:p>
    <w:p>
      <w:pPr>
        <w:spacing w:after="160" w:line="276"/>
        <w:jc w:val="both"/>
      </w:pPr>
      <w:r>
        <w:rPr>
          <w:rFonts w:ascii="Times New Roman" w:cs="Times New Roman" w:eastAsia="Times New Roman" w:hAnsi="Times New Roman"/>
          <w:sz w:val="22"/>
          <w:szCs w:val="22"/>
        </w:rPr>
        <w:t xml:space="preserve">Concrètement, la question que je me suis posée est la suivante : peut-on construire une chaîne de traitement de bout en bout — de l'ingestion d'un signal médical brut jusqu'à une prédiction exposée via une API — qui soit à la fois robuste, reproductible et extensible à un nouveau type de signal ? Je m'intéresse autant à la qualité de l'architecture qu'à la performance du modèle.</w:t>
      </w:r>
    </w:p>
    <w:p>
      <w:pPr>
        <w:pStyle w:val="Heading2"/>
        <w:spacing w:after="140" w:before="240"/>
      </w:pPr>
      <w:r>
        <w:rPr>
          <w:rFonts w:ascii="Times New Roman" w:cs="Times New Roman" w:eastAsia="Times New Roman" w:hAnsi="Times New Roman"/>
          <w:b/>
          <w:bCs/>
          <w:color w:val="2E74B5"/>
          <w:sz w:val="26"/>
          <w:szCs w:val="26"/>
        </w:rPr>
        <w:t xml:space="preserve">1.2 Les sources de données</w:t>
      </w:r>
    </w:p>
    <w:p>
      <w:pPr>
        <w:spacing w:after="160" w:line="276"/>
        <w:jc w:val="both"/>
      </w:pPr>
      <w:r>
        <w:rPr>
          <w:rFonts w:ascii="Times New Roman" w:cs="Times New Roman" w:eastAsia="Times New Roman" w:hAnsi="Times New Roman"/>
          <w:sz w:val="22"/>
          <w:szCs w:val="22"/>
        </w:rPr>
        <w:t xml:space="preserve">Conformément à la consigne (une source fichier et une source API), j'utilise :</w:t>
      </w:r>
    </w:p>
    <w:p>
      <w:pPr>
        <w:pStyle w:val="ListParagraph"/>
        <w:numPr>
          <w:ilvl w:val="0"/>
          <w:numId w:val="1"/>
        </w:numPr>
        <w:spacing w:after="100" w:line="276"/>
      </w:pPr>
      <w:r>
        <w:rPr>
          <w:rFonts w:ascii="Times New Roman" w:cs="Times New Roman" w:eastAsia="Times New Roman" w:hAnsi="Times New Roman"/>
          <w:b/>
          <w:bCs/>
          <w:sz w:val="22"/>
          <w:szCs w:val="22"/>
        </w:rPr>
        <w:t xml:space="preserve">Source fichier — </w:t>
      </w:r>
      <w:r>
        <w:rPr>
          <w:rFonts w:ascii="Times New Roman" w:cs="Times New Roman" w:eastAsia="Times New Roman" w:hAnsi="Times New Roman"/>
          <w:sz w:val="22"/>
          <w:szCs w:val="22"/>
        </w:rPr>
        <w:t xml:space="preserve">un jeu de données PhysioNet (signaux ECG puis EEG), lu à l'aide des librairies spécialisées, comme source fichier ;</w:t>
      </w:r>
    </w:p>
    <w:p>
      <w:pPr>
        <w:pStyle w:val="ListParagraph"/>
        <w:numPr>
          <w:ilvl w:val="0"/>
          <w:numId w:val="1"/>
        </w:numPr>
        <w:spacing w:after="100" w:line="276"/>
      </w:pPr>
      <w:r>
        <w:rPr>
          <w:rFonts w:ascii="Times New Roman" w:cs="Times New Roman" w:eastAsia="Times New Roman" w:hAnsi="Times New Roman"/>
          <w:b/>
          <w:bCs/>
          <w:sz w:val="22"/>
          <w:szCs w:val="22"/>
        </w:rPr>
        <w:t xml:space="preserve">Source API — </w:t>
      </w:r>
      <w:r>
        <w:rPr>
          <w:rFonts w:ascii="Times New Roman" w:cs="Times New Roman" w:eastAsia="Times New Roman" w:hAnsi="Times New Roman"/>
          <w:sz w:val="22"/>
          <w:szCs w:val="22"/>
        </w:rPr>
        <w:t xml:space="preserve">une API publique temps réel, interrogée à intervalle régulier par le pipeline, comme source API.</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À COMPLÉTER : préciser les datasets exacts retenus (ex. MIT-BIH Arrhythmia, CHB-MIT Scalp EEG) et l'API exacte (ex. OpenAQ), avec un lien vers chaque source. ]</w:t>
      </w:r>
    </w:p>
    <w:p>
      <w:pPr>
        <w:pStyle w:val="Heading2"/>
        <w:spacing w:after="140" w:before="240"/>
      </w:pPr>
      <w:r>
        <w:rPr>
          <w:rFonts w:ascii="Times New Roman" w:cs="Times New Roman" w:eastAsia="Times New Roman" w:hAnsi="Times New Roman"/>
          <w:b/>
          <w:bCs/>
          <w:color w:val="2E74B5"/>
          <w:sz w:val="26"/>
          <w:szCs w:val="26"/>
        </w:rPr>
        <w:t xml:space="preserve">1.3 Un principe directeur : une infrastructure, plusieurs domaines</w:t>
      </w:r>
    </w:p>
    <w:p>
      <w:pPr>
        <w:spacing w:after="160" w:line="276"/>
        <w:jc w:val="both"/>
      </w:pPr>
      <w:r>
        <w:rPr>
          <w:rFonts w:ascii="Times New Roman" w:cs="Times New Roman" w:eastAsia="Times New Roman" w:hAnsi="Times New Roman"/>
          <w:sz w:val="22"/>
          <w:szCs w:val="22"/>
        </w:rPr>
        <w:t xml:space="preserve">Le choix d'architecture le plus important du projet est de ne pas traiter l'ECG et l'EEG comme deux projets séparés. Toute la « tuyauterie » (stockage, transformation, base finale, orchestration, API) est écrite une seule fois. Chaque type de signal n'est qu'un connecteur qui se branche dessus. Ajouter l'EEG après l'ECG ne demande donc presque aucun code nouveau — c'est la démonstration concrète que l'architecture est pensée pour grandir.</w:t>
      </w:r>
    </w:p>
    <w:p>
      <w:pPr>
        <w:pStyle w:val="Heading1"/>
        <w:spacing w:after="200" w:before="360"/>
      </w:pPr>
      <w:r>
        <w:rPr>
          <w:rFonts w:ascii="Times New Roman" w:cs="Times New Roman" w:eastAsia="Times New Roman" w:hAnsi="Times New Roman"/>
          <w:b/>
          <w:bCs/>
          <w:color w:val="1F3864"/>
          <w:sz w:val="32"/>
          <w:szCs w:val="32"/>
        </w:rPr>
        <w:t xml:space="preserve">2. L'architecture du data lake</w:t>
      </w:r>
    </w:p>
    <w:p>
      <w:pPr>
        <w:pStyle w:val="Heading2"/>
        <w:spacing w:after="140" w:before="240"/>
      </w:pPr>
      <w:r>
        <w:rPr>
          <w:rFonts w:ascii="Times New Roman" w:cs="Times New Roman" w:eastAsia="Times New Roman" w:hAnsi="Times New Roman"/>
          <w:b/>
          <w:bCs/>
          <w:color w:val="2E74B5"/>
          <w:sz w:val="26"/>
          <w:szCs w:val="26"/>
        </w:rPr>
        <w:t xml:space="preserve">2.1 Les quatre zones (architecture medallion)</w:t>
      </w:r>
    </w:p>
    <w:p>
      <w:pPr>
        <w:spacing w:after="160" w:line="276"/>
        <w:jc w:val="both"/>
      </w:pPr>
      <w:r>
        <w:rPr>
          <w:rFonts w:ascii="Times New Roman" w:cs="Times New Roman" w:eastAsia="Times New Roman" w:hAnsi="Times New Roman"/>
          <w:sz w:val="22"/>
          <w:szCs w:val="22"/>
        </w:rPr>
        <w:t xml:space="preserve">Le data lake est organisé en zones successives, chacune correspondant à un état de raffinement des données : raw (le brut, jamais modifié), staging (le nettoyé et transformé en features), curated (les données propres enrichies du résultat du modèle), puis une couche d'exposition (API et dashboard). Garder le brut intact en zone raw est une règle d'or : on peut toujours tout recalculer depuis la source si on découvre une erreur de traitement.</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INSÉRER LE SCHÉMA D'ARCHITECTURE — les 4 zones et le flux des données. (Voir ARCHITECTURE.md pour le contenu.) ]</w:t>
      </w:r>
    </w:p>
    <w:p>
      <w:pPr>
        <w:pStyle w:val="Heading2"/>
        <w:spacing w:after="140" w:before="240"/>
      </w:pPr>
      <w:r>
        <w:rPr>
          <w:rFonts w:ascii="Times New Roman" w:cs="Times New Roman" w:eastAsia="Times New Roman" w:hAnsi="Times New Roman"/>
          <w:b/>
          <w:bCs/>
          <w:color w:val="2E74B5"/>
          <w:sz w:val="26"/>
          <w:szCs w:val="26"/>
        </w:rPr>
        <w:t xml:space="preserve">2.2 Les choix techniques et leur justification</w:t>
      </w:r>
    </w:p>
    <w:p>
      <w:pPr>
        <w:pStyle w:val="ListParagraph"/>
        <w:numPr>
          <w:ilvl w:val="0"/>
          <w:numId w:val="1"/>
        </w:numPr>
        <w:spacing w:after="100" w:line="276"/>
      </w:pPr>
      <w:r>
        <w:rPr>
          <w:rFonts w:ascii="Times New Roman" w:cs="Times New Roman" w:eastAsia="Times New Roman" w:hAnsi="Times New Roman"/>
          <w:b/>
          <w:bCs/>
          <w:sz w:val="22"/>
          <w:szCs w:val="22"/>
        </w:rPr>
        <w:t xml:space="preserve">MinIO (raw &amp; staging) — </w:t>
      </w:r>
      <w:r>
        <w:rPr>
          <w:rFonts w:ascii="Times New Roman" w:cs="Times New Roman" w:eastAsia="Times New Roman" w:hAnsi="Times New Roman"/>
          <w:sz w:val="22"/>
          <w:szCs w:val="22"/>
        </w:rPr>
        <w:t xml:space="preserve">un « S3 maison », gratuit et conforme à la consigne (S3 imposé pour la zone raw), qui stocke aussi bien les fichiers binaires que les payloads JSON.</w:t>
      </w:r>
    </w:p>
    <w:p>
      <w:pPr>
        <w:pStyle w:val="ListParagraph"/>
        <w:numPr>
          <w:ilvl w:val="0"/>
          <w:numId w:val="1"/>
        </w:numPr>
        <w:spacing w:after="100" w:line="276"/>
      </w:pPr>
      <w:r>
        <w:rPr>
          <w:rFonts w:ascii="Times New Roman" w:cs="Times New Roman" w:eastAsia="Times New Roman" w:hAnsi="Times New Roman"/>
          <w:b/>
          <w:bCs/>
          <w:sz w:val="22"/>
          <w:szCs w:val="22"/>
        </w:rPr>
        <w:t xml:space="preserve">PostgreSQL (curated) — </w:t>
      </w:r>
      <w:r>
        <w:rPr>
          <w:rFonts w:ascii="Times New Roman" w:cs="Times New Roman" w:eastAsia="Times New Roman" w:hAnsi="Times New Roman"/>
          <w:sz w:val="22"/>
          <w:szCs w:val="22"/>
        </w:rPr>
        <w:t xml:space="preserve">base relationnelle robuste pour ranger les données finales structurées, une ligne par événement analysé.</w:t>
      </w:r>
    </w:p>
    <w:p>
      <w:pPr>
        <w:pStyle w:val="ListParagraph"/>
        <w:numPr>
          <w:ilvl w:val="0"/>
          <w:numId w:val="1"/>
        </w:numPr>
        <w:spacing w:after="100" w:line="276"/>
      </w:pPr>
      <w:r>
        <w:rPr>
          <w:rFonts w:ascii="Times New Roman" w:cs="Times New Roman" w:eastAsia="Times New Roman" w:hAnsi="Times New Roman"/>
          <w:b/>
          <w:bCs/>
          <w:sz w:val="22"/>
          <w:szCs w:val="22"/>
        </w:rPr>
        <w:t xml:space="preserve">Apache Airflow — </w:t>
      </w:r>
      <w:r>
        <w:rPr>
          <w:rFonts w:ascii="Times New Roman" w:cs="Times New Roman" w:eastAsia="Times New Roman" w:hAnsi="Times New Roman"/>
          <w:sz w:val="22"/>
          <w:szCs w:val="22"/>
        </w:rPr>
        <w:t xml:space="preserve">l'orchestrateur qui déclenche les tâches automatiquement et gère le scheduling de l'ingestion API.</w:t>
      </w:r>
    </w:p>
    <w:p>
      <w:pPr>
        <w:pStyle w:val="ListParagraph"/>
        <w:numPr>
          <w:ilvl w:val="0"/>
          <w:numId w:val="1"/>
        </w:numPr>
        <w:spacing w:after="100" w:line="276"/>
      </w:pPr>
      <w:r>
        <w:rPr>
          <w:rFonts w:ascii="Times New Roman" w:cs="Times New Roman" w:eastAsia="Times New Roman" w:hAnsi="Times New Roman"/>
          <w:b/>
          <w:bCs/>
          <w:sz w:val="22"/>
          <w:szCs w:val="22"/>
        </w:rPr>
        <w:t xml:space="preserve">FastAPI — </w:t>
      </w:r>
      <w:r>
        <w:rPr>
          <w:rFonts w:ascii="Times New Roman" w:cs="Times New Roman" w:eastAsia="Times New Roman" w:hAnsi="Times New Roman"/>
          <w:sz w:val="22"/>
          <w:szCs w:val="22"/>
        </w:rPr>
        <w:t xml:space="preserve">pour exposer les endpoints, avec un support natif de l'asynchrone utile au niveau avancé.</w:t>
      </w:r>
    </w:p>
    <w:p>
      <w:pPr>
        <w:pStyle w:val="ListParagraph"/>
        <w:numPr>
          <w:ilvl w:val="0"/>
          <w:numId w:val="1"/>
        </w:numPr>
        <w:spacing w:after="100" w:line="276"/>
      </w:pPr>
      <w:r>
        <w:rPr>
          <w:rFonts w:ascii="Times New Roman" w:cs="Times New Roman" w:eastAsia="Times New Roman" w:hAnsi="Times New Roman"/>
          <w:b/>
          <w:bCs/>
          <w:sz w:val="22"/>
          <w:szCs w:val="22"/>
        </w:rPr>
        <w:t xml:space="preserve">Streamlit — </w:t>
      </w:r>
      <w:r>
        <w:rPr>
          <w:rFonts w:ascii="Times New Roman" w:cs="Times New Roman" w:eastAsia="Times New Roman" w:hAnsi="Times New Roman"/>
          <w:sz w:val="22"/>
          <w:szCs w:val="22"/>
        </w:rPr>
        <w:t xml:space="preserve">pour le dashboard de visualisation, écrit en Python pur.</w:t>
      </w:r>
    </w:p>
    <w:p>
      <w:pPr>
        <w:pStyle w:val="ListParagraph"/>
        <w:numPr>
          <w:ilvl w:val="0"/>
          <w:numId w:val="1"/>
        </w:numPr>
        <w:spacing w:after="100" w:line="276"/>
      </w:pPr>
      <w:r>
        <w:rPr>
          <w:rFonts w:ascii="Times New Roman" w:cs="Times New Roman" w:eastAsia="Times New Roman" w:hAnsi="Times New Roman"/>
          <w:b/>
          <w:bCs/>
          <w:sz w:val="22"/>
          <w:szCs w:val="22"/>
        </w:rPr>
        <w:t xml:space="preserve">Docker Compose — </w:t>
      </w:r>
      <w:r>
        <w:rPr>
          <w:rFonts w:ascii="Times New Roman" w:cs="Times New Roman" w:eastAsia="Times New Roman" w:hAnsi="Times New Roman"/>
          <w:sz w:val="22"/>
          <w:szCs w:val="22"/>
        </w:rPr>
        <w:t xml:space="preserve">pour lancer toute l'infrastructure d'une seule commande, à l'identique sur n'importe quelle machine.</w:t>
      </w:r>
    </w:p>
    <w:p>
      <w:pPr>
        <w:spacing w:after="160"/>
      </w:pPr>
      <w:r>
        <w:rPr>
          <w:rFonts w:ascii="Times New Roman" w:cs="Times New Roman" w:eastAsia="Times New Roman" w:hAnsi="Times New Roman"/>
          <w:i/>
          <w:iCs/>
          <w:color w:val="808080"/>
          <w:sz w:val="20"/>
          <w:szCs w:val="20"/>
        </w:rPr>
        <w:t xml:space="preserve">💡 Conseil de rédaction — Si tu changes un choix techno en cours de route (ex. TimescaleDB au lieu de Postgres), mets à jour cette liste et explique pourquoi — le prof valorise la justification des choix.</w:t>
      </w:r>
    </w:p>
    <w:p>
      <w:pPr>
        <w:pStyle w:val="Heading2"/>
        <w:spacing w:after="140" w:before="240"/>
      </w:pPr>
      <w:r>
        <w:rPr>
          <w:rFonts w:ascii="Times New Roman" w:cs="Times New Roman" w:eastAsia="Times New Roman" w:hAnsi="Times New Roman"/>
          <w:b/>
          <w:bCs/>
          <w:color w:val="2E74B5"/>
          <w:sz w:val="26"/>
          <w:szCs w:val="26"/>
        </w:rPr>
        <w:t xml:space="preserve">2.3 Le pattern « processeur enfichable »</w:t>
      </w:r>
    </w:p>
    <w:p>
      <w:pPr>
        <w:spacing w:after="160" w:line="276"/>
        <w:jc w:val="both"/>
      </w:pPr>
      <w:r>
        <w:rPr>
          <w:rFonts w:ascii="Times New Roman" w:cs="Times New Roman" w:eastAsia="Times New Roman" w:hAnsi="Times New Roman"/>
          <w:sz w:val="22"/>
          <w:szCs w:val="22"/>
        </w:rPr>
        <w:t xml:space="preserve">Techniquement, l'extensibilité repose sur une classe de base abstraite (SignalProcessor) qui décrit la logique commune du pipeline une seule fois. Chaque domaine (ECG, EEG) fournit sa propre implémentation de deux méthodes seulement : lire le signal brut, et en extraire les features. Le reste — l'enchaînement, le stockage, l'écriture en base — est mutualisé. C'est ce qui rend l'ajout d'une nouvelle source quasi gratuit.</w:t>
      </w:r>
    </w:p>
    <w:p>
      <w:pPr>
        <w:pStyle w:val="Heading1"/>
        <w:spacing w:after="200" w:before="360"/>
      </w:pPr>
      <w:r>
        <w:rPr>
          <w:rFonts w:ascii="Times New Roman" w:cs="Times New Roman" w:eastAsia="Times New Roman" w:hAnsi="Times New Roman"/>
          <w:b/>
          <w:bCs/>
          <w:color w:val="1F3864"/>
          <w:sz w:val="32"/>
          <w:szCs w:val="32"/>
        </w:rPr>
        <w:t xml:space="preserve">3. Le pipeline d'intégration (Airflow)</w:t>
      </w:r>
    </w:p>
    <w:p>
      <w:pPr>
        <w:spacing w:after="160" w:line="276"/>
        <w:jc w:val="both"/>
      </w:pPr>
      <w:r>
        <w:rPr>
          <w:rFonts w:ascii="Times New Roman" w:cs="Times New Roman" w:eastAsia="Times New Roman" w:hAnsi="Times New Roman"/>
          <w:sz w:val="22"/>
          <w:szCs w:val="22"/>
        </w:rPr>
        <w:t xml:space="preserve">Le pipeline assure la reproductibilité des transformations et l'alimentation automatisée du data lake, sans lancer les scripts à la main.</w:t>
      </w:r>
    </w:p>
    <w:p>
      <w:pPr>
        <w:pStyle w:val="Heading2"/>
        <w:spacing w:after="140" w:before="240"/>
      </w:pPr>
      <w:r>
        <w:rPr>
          <w:rFonts w:ascii="Times New Roman" w:cs="Times New Roman" w:eastAsia="Times New Roman" w:hAnsi="Times New Roman"/>
          <w:b/>
          <w:bCs/>
          <w:color w:val="2E74B5"/>
          <w:sz w:val="26"/>
          <w:szCs w:val="26"/>
        </w:rPr>
        <w:t xml:space="preserve">3.1 Les DAGs</w:t>
      </w:r>
    </w:p>
    <w:p>
      <w:pPr>
        <w:spacing w:after="160" w:line="276"/>
        <w:jc w:val="both"/>
      </w:pPr>
      <w:r>
        <w:rPr>
          <w:rFonts w:ascii="Times New Roman" w:cs="Times New Roman" w:eastAsia="Times New Roman" w:hAnsi="Times New Roman"/>
          <w:sz w:val="22"/>
          <w:szCs w:val="22"/>
        </w:rPr>
        <w:t xml:space="preserve">Chaque source dispose de son propre DAG (graphe de tâches) qui enchaîne : ingestion vers la zone raw, transformation vers staging, puis chargement en curated.</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INSÉRER CAPTURE D'ÉCRAN — un DAG affiché en vert dans l'interface Airflow. ]</w:t>
      </w:r>
    </w:p>
    <w:p>
      <w:pPr>
        <w:pStyle w:val="Heading2"/>
        <w:spacing w:after="140" w:before="240"/>
      </w:pPr>
      <w:r>
        <w:rPr>
          <w:rFonts w:ascii="Times New Roman" w:cs="Times New Roman" w:eastAsia="Times New Roman" w:hAnsi="Times New Roman"/>
          <w:b/>
          <w:bCs/>
          <w:color w:val="2E74B5"/>
          <w:sz w:val="26"/>
          <w:szCs w:val="26"/>
        </w:rPr>
        <w:t xml:space="preserve">3.2 Le scheduling de la source API</w:t>
      </w:r>
    </w:p>
    <w:p>
      <w:pPr>
        <w:spacing w:after="160" w:line="276"/>
        <w:jc w:val="both"/>
      </w:pPr>
      <w:r>
        <w:rPr>
          <w:rFonts w:ascii="Times New Roman" w:cs="Times New Roman" w:eastAsia="Times New Roman" w:hAnsi="Times New Roman"/>
          <w:sz w:val="22"/>
          <w:szCs w:val="22"/>
        </w:rPr>
        <w:t xml:space="preserve">Pour la source API, j'utilise la fonctionnalité de scheduling d'Airflow afin d'ingérer les données à intervalle régulier, ce qui simule un flux continu réaliste.</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À COMPLÉTER : la fréquence d'ingestion choisie et, si tu l'as tenté, un mot sur l'usage de XCom pour passer des informations entre tâches. ]</w:t>
      </w:r>
    </w:p>
    <w:p>
      <w:pPr>
        <w:pStyle w:val="Heading1"/>
        <w:spacing w:after="200" w:before="360"/>
      </w:pPr>
      <w:r>
        <w:rPr>
          <w:rFonts w:ascii="Times New Roman" w:cs="Times New Roman" w:eastAsia="Times New Roman" w:hAnsi="Times New Roman"/>
          <w:b/>
          <w:bCs/>
          <w:color w:val="1F3864"/>
          <w:sz w:val="32"/>
          <w:szCs w:val="32"/>
        </w:rPr>
        <w:t xml:space="preserve">4. Le traitement, zone par zone</w:t>
      </w:r>
    </w:p>
    <w:p>
      <w:pPr>
        <w:pStyle w:val="Heading2"/>
        <w:spacing w:after="140" w:before="240"/>
      </w:pPr>
      <w:r>
        <w:rPr>
          <w:rFonts w:ascii="Times New Roman" w:cs="Times New Roman" w:eastAsia="Times New Roman" w:hAnsi="Times New Roman"/>
          <w:b/>
          <w:bCs/>
          <w:color w:val="2E74B5"/>
          <w:sz w:val="26"/>
          <w:szCs w:val="26"/>
        </w:rPr>
        <w:t xml:space="preserve">4.1 Zone raw — l'ingestion brute</w:t>
      </w:r>
    </w:p>
    <w:p>
      <w:pPr>
        <w:spacing w:after="160" w:line="276"/>
        <w:jc w:val="both"/>
      </w:pPr>
      <w:r>
        <w:rPr>
          <w:rFonts w:ascii="Times New Roman" w:cs="Times New Roman" w:eastAsia="Times New Roman" w:hAnsi="Times New Roman"/>
          <w:sz w:val="22"/>
          <w:szCs w:val="22"/>
        </w:rPr>
        <w:t xml:space="preserve">Les fichiers de signaux et les payloads JSON de l'API sont déposés tels quels dans MinIO, rangés par source. Aucun nettoyage à ce stade : on préserve l'original.</w:t>
      </w:r>
    </w:p>
    <w:p>
      <w:pPr>
        <w:pStyle w:val="Heading2"/>
        <w:spacing w:after="140" w:before="240"/>
      </w:pPr>
      <w:r>
        <w:rPr>
          <w:rFonts w:ascii="Times New Roman" w:cs="Times New Roman" w:eastAsia="Times New Roman" w:hAnsi="Times New Roman"/>
          <w:b/>
          <w:bCs/>
          <w:color w:val="2E74B5"/>
          <w:sz w:val="26"/>
          <w:szCs w:val="26"/>
        </w:rPr>
        <w:t xml:space="preserve">4.2 Zone staging — l'extraction des features</w:t>
      </w:r>
    </w:p>
    <w:p>
      <w:pPr>
        <w:spacing w:after="160" w:line="276"/>
        <w:jc w:val="both"/>
      </w:pPr>
      <w:r>
        <w:rPr>
          <w:rFonts w:ascii="Times New Roman" w:cs="Times New Roman" w:eastAsia="Times New Roman" w:hAnsi="Times New Roman"/>
          <w:sz w:val="22"/>
          <w:szCs w:val="22"/>
        </w:rPr>
        <w:t xml:space="preserve">C'est ici que le signal brut devient exploitable. Pour l'ECG, j'extrais des caractéristiques par battement ; pour l'EEG, j'applique un filtrage et je calcule des caractéristiques fréquentielles. Le résultat est stocké au format Parquet.</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INSÉRER un extrait des features obtenues (tableau) et décrire brièvement la recette d'extraction propre à chaque signal. ]</w:t>
      </w:r>
    </w:p>
    <w:p>
      <w:pPr>
        <w:pStyle w:val="Heading2"/>
        <w:spacing w:after="140" w:before="240"/>
      </w:pPr>
      <w:r>
        <w:rPr>
          <w:rFonts w:ascii="Times New Roman" w:cs="Times New Roman" w:eastAsia="Times New Roman" w:hAnsi="Times New Roman"/>
          <w:b/>
          <w:bCs/>
          <w:color w:val="2E74B5"/>
          <w:sz w:val="26"/>
          <w:szCs w:val="26"/>
        </w:rPr>
        <w:t xml:space="preserve">4.3 Zone curated — le modèle de Machine Learning</w:t>
      </w:r>
    </w:p>
    <w:p>
      <w:pPr>
        <w:spacing w:after="160" w:line="276"/>
        <w:jc w:val="both"/>
      </w:pPr>
      <w:r>
        <w:rPr>
          <w:rFonts w:ascii="Times New Roman" w:cs="Times New Roman" w:eastAsia="Times New Roman" w:hAnsi="Times New Roman"/>
          <w:sz w:val="22"/>
          <w:szCs w:val="22"/>
        </w:rPr>
        <w:t xml:space="preserve">Les features nettoyées alimentent un modèle de détection d'anomalies (battements anormaux pour l'ECG, crises pour l'EEG). Les résultats, features et prédiction, sont écrits en base pour être exposés par l'API.</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INSÉRER les métriques du modèle (accuracy, F1, matrice de confusion) et un commentaire honnête : où le modèle se trompe-t-il, et pourquoi ? ]</w:t>
      </w:r>
    </w:p>
    <w:p>
      <w:pPr>
        <w:spacing w:after="160"/>
      </w:pPr>
      <w:r>
        <w:rPr>
          <w:rFonts w:ascii="Times New Roman" w:cs="Times New Roman" w:eastAsia="Times New Roman" w:hAnsi="Times New Roman"/>
          <w:i/>
          <w:iCs/>
          <w:color w:val="808080"/>
          <w:sz w:val="20"/>
          <w:szCs w:val="20"/>
        </w:rPr>
        <w:t xml:space="preserve">💡 Conseil de rédaction — Comme dans le rapport modèle : compare toujours à une baseline naïve. Un score n'a de sens que face à un point de comparaison.</w:t>
      </w:r>
    </w:p>
    <w:p>
      <w:pPr>
        <w:pStyle w:val="Heading1"/>
        <w:spacing w:after="200" w:before="360"/>
      </w:pPr>
      <w:r>
        <w:rPr>
          <w:rFonts w:ascii="Times New Roman" w:cs="Times New Roman" w:eastAsia="Times New Roman" w:hAnsi="Times New Roman"/>
          <w:b/>
          <w:bCs/>
          <w:color w:val="1F3864"/>
          <w:sz w:val="32"/>
          <w:szCs w:val="32"/>
        </w:rPr>
        <w:t xml:space="preserve">5. L'API Gateway</w:t>
      </w:r>
    </w:p>
    <w:p>
      <w:pPr>
        <w:spacing w:after="160" w:line="276"/>
        <w:jc w:val="both"/>
      </w:pPr>
      <w:r>
        <w:rPr>
          <w:rFonts w:ascii="Times New Roman" w:cs="Times New Roman" w:eastAsia="Times New Roman" w:hAnsi="Times New Roman"/>
          <w:sz w:val="22"/>
          <w:szCs w:val="22"/>
        </w:rPr>
        <w:t xml:space="preserve">L'API offre une interface simple pour récupérer les données ingérées sans avoir à manipuler directement l'entrepôt ou la base.</w:t>
      </w:r>
    </w:p>
    <w:p>
      <w:pPr>
        <w:pStyle w:val="Heading2"/>
        <w:spacing w:after="140" w:before="240"/>
      </w:pPr>
      <w:r>
        <w:rPr>
          <w:rFonts w:ascii="Times New Roman" w:cs="Times New Roman" w:eastAsia="Times New Roman" w:hAnsi="Times New Roman"/>
          <w:b/>
          <w:bCs/>
          <w:color w:val="2E74B5"/>
          <w:sz w:val="26"/>
          <w:szCs w:val="26"/>
        </w:rPr>
        <w:t xml:space="preserve">5.1 Les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120"/>
              <w:bottom w:type="dxa" w:w="60"/>
              <w:right w:type="dxa" w:w="120"/>
            </w:tcMar>
          </w:tcPr>
          <w:p>
            <w:r>
              <w:rPr>
                <w:rFonts w:ascii="Times New Roman" w:cs="Times New Roman" w:eastAsia="Times New Roman" w:hAnsi="Times New Roman"/>
                <w:b/>
                <w:bCs/>
                <w:color w:val="FFFFFF"/>
                <w:sz w:val="20"/>
                <w:szCs w:val="20"/>
              </w:rPr>
              <w:t xml:space="preserve">Endpoint</w:t>
            </w:r>
          </w:p>
        </w:tc>
        <w:tc>
          <w:tcPr>
            <w:tcW w:type="dxa" w:w="4680"/>
            <w:shd w:fill="1F3864" w:val="clear"/>
            <w:tcMar>
              <w:top w:type="dxa" w:w="60"/>
              <w:left w:type="dxa" w:w="120"/>
              <w:bottom w:type="dxa" w:w="60"/>
              <w:right w:type="dxa" w:w="120"/>
            </w:tcMar>
          </w:tcPr>
          <w:p>
            <w:r>
              <w:rPr>
                <w:rFonts w:ascii="Times New Roman" w:cs="Times New Roman" w:eastAsia="Times New Roman" w:hAnsi="Times New Roman"/>
                <w:b/>
                <w:bCs/>
                <w:color w:val="FFFFFF"/>
                <w:sz w:val="20"/>
                <w:szCs w:val="20"/>
              </w:rPr>
              <w:t xml:space="preserve">Rôle</w:t>
            </w:r>
          </w:p>
        </w:tc>
      </w:tr>
      <w:tr>
        <w:tc>
          <w:tcPr>
            <w:tcW w:type="dxa" w:w="4680"/>
            <w:tcMar>
              <w:top w:type="dxa" w:w="60"/>
              <w:left w:type="dxa" w:w="120"/>
              <w:bottom w:type="dxa" w:w="60"/>
              <w:right w:type="dxa" w:w="120"/>
            </w:tcMar>
          </w:tcPr>
          <w:p>
            <w:r>
              <w:rPr>
                <w:rFonts w:ascii="Consolas" w:cs="Consolas" w:eastAsia="Consolas" w:hAnsi="Consolas"/>
                <w:sz w:val="20"/>
                <w:szCs w:val="20"/>
              </w:rPr>
              <w:t xml:space="preserve">GET /health</w:t>
            </w:r>
          </w:p>
        </w:tc>
        <w:tc>
          <w:tcPr>
            <w:tcW w:type="dxa" w:w="4680"/>
            <w:tcMar>
              <w:top w:type="dxa" w:w="60"/>
              <w:left w:type="dxa" w:w="120"/>
              <w:bottom w:type="dxa" w:w="60"/>
              <w:right w:type="dxa" w:w="120"/>
            </w:tcMar>
          </w:tcPr>
          <w:p>
            <w:r>
              <w:rPr>
                <w:rFonts w:ascii="Times New Roman" w:cs="Times New Roman" w:eastAsia="Times New Roman" w:hAnsi="Times New Roman"/>
                <w:sz w:val="20"/>
                <w:szCs w:val="20"/>
              </w:rPr>
              <w:t xml:space="preserve">Vérifie que les services (MinIO, PostgreSQL) répondent</w:t>
            </w:r>
          </w:p>
        </w:tc>
      </w:tr>
      <w:tr>
        <w:tc>
          <w:tcPr>
            <w:tcW w:type="dxa" w:w="4680"/>
            <w:tcMar>
              <w:top w:type="dxa" w:w="60"/>
              <w:left w:type="dxa" w:w="120"/>
              <w:bottom w:type="dxa" w:w="60"/>
              <w:right w:type="dxa" w:w="120"/>
            </w:tcMar>
          </w:tcPr>
          <w:p>
            <w:r>
              <w:rPr>
                <w:rFonts w:ascii="Consolas" w:cs="Consolas" w:eastAsia="Consolas" w:hAnsi="Consolas"/>
                <w:sz w:val="20"/>
                <w:szCs w:val="20"/>
              </w:rPr>
              <w:t xml:space="preserve">GET /raw</w:t>
            </w:r>
          </w:p>
        </w:tc>
        <w:tc>
          <w:tcPr>
            <w:tcW w:type="dxa" w:w="4680"/>
            <w:tcMar>
              <w:top w:type="dxa" w:w="60"/>
              <w:left w:type="dxa" w:w="120"/>
              <w:bottom w:type="dxa" w:w="60"/>
              <w:right w:type="dxa" w:w="120"/>
            </w:tcMar>
          </w:tcPr>
          <w:p>
            <w:r>
              <w:rPr>
                <w:rFonts w:ascii="Times New Roman" w:cs="Times New Roman" w:eastAsia="Times New Roman" w:hAnsi="Times New Roman"/>
                <w:sz w:val="20"/>
                <w:szCs w:val="20"/>
              </w:rPr>
              <w:t xml:space="preserve">Liste / récupère les données brutes de la zone raw</w:t>
            </w:r>
          </w:p>
        </w:tc>
      </w:tr>
      <w:tr>
        <w:tc>
          <w:tcPr>
            <w:tcW w:type="dxa" w:w="4680"/>
            <w:tcMar>
              <w:top w:type="dxa" w:w="60"/>
              <w:left w:type="dxa" w:w="120"/>
              <w:bottom w:type="dxa" w:w="60"/>
              <w:right w:type="dxa" w:w="120"/>
            </w:tcMar>
          </w:tcPr>
          <w:p>
            <w:r>
              <w:rPr>
                <w:rFonts w:ascii="Consolas" w:cs="Consolas" w:eastAsia="Consolas" w:hAnsi="Consolas"/>
                <w:sz w:val="20"/>
                <w:szCs w:val="20"/>
              </w:rPr>
              <w:t xml:space="preserve">GET /staging</w:t>
            </w:r>
          </w:p>
        </w:tc>
        <w:tc>
          <w:tcPr>
            <w:tcW w:type="dxa" w:w="4680"/>
            <w:tcMar>
              <w:top w:type="dxa" w:w="60"/>
              <w:left w:type="dxa" w:w="120"/>
              <w:bottom w:type="dxa" w:w="60"/>
              <w:right w:type="dxa" w:w="120"/>
            </w:tcMar>
          </w:tcPr>
          <w:p>
            <w:r>
              <w:rPr>
                <w:rFonts w:ascii="Times New Roman" w:cs="Times New Roman" w:eastAsia="Times New Roman" w:hAnsi="Times New Roman"/>
                <w:sz w:val="20"/>
                <w:szCs w:val="20"/>
              </w:rPr>
              <w:t xml:space="preserve">Récupère les features intermédiaires</w:t>
            </w:r>
          </w:p>
        </w:tc>
      </w:tr>
      <w:tr>
        <w:tc>
          <w:tcPr>
            <w:tcW w:type="dxa" w:w="4680"/>
            <w:tcMar>
              <w:top w:type="dxa" w:w="60"/>
              <w:left w:type="dxa" w:w="120"/>
              <w:bottom w:type="dxa" w:w="60"/>
              <w:right w:type="dxa" w:w="120"/>
            </w:tcMar>
          </w:tcPr>
          <w:p>
            <w:r>
              <w:rPr>
                <w:rFonts w:ascii="Consolas" w:cs="Consolas" w:eastAsia="Consolas" w:hAnsi="Consolas"/>
                <w:sz w:val="20"/>
                <w:szCs w:val="20"/>
              </w:rPr>
              <w:t xml:space="preserve">GET /curated</w:t>
            </w:r>
          </w:p>
        </w:tc>
        <w:tc>
          <w:tcPr>
            <w:tcW w:type="dxa" w:w="4680"/>
            <w:tcMar>
              <w:top w:type="dxa" w:w="60"/>
              <w:left w:type="dxa" w:w="120"/>
              <w:bottom w:type="dxa" w:w="60"/>
              <w:right w:type="dxa" w:w="120"/>
            </w:tcMar>
          </w:tcPr>
          <w:p>
            <w:r>
              <w:rPr>
                <w:rFonts w:ascii="Times New Roman" w:cs="Times New Roman" w:eastAsia="Times New Roman" w:hAnsi="Times New Roman"/>
                <w:sz w:val="20"/>
                <w:szCs w:val="20"/>
              </w:rPr>
              <w:t xml:space="preserve">Récupère les résultats finaux + prédictions du modèle</w:t>
            </w:r>
          </w:p>
        </w:tc>
      </w:tr>
      <w:tr>
        <w:tc>
          <w:tcPr>
            <w:tcW w:type="dxa" w:w="4680"/>
            <w:tcMar>
              <w:top w:type="dxa" w:w="60"/>
              <w:left w:type="dxa" w:w="120"/>
              <w:bottom w:type="dxa" w:w="60"/>
              <w:right w:type="dxa" w:w="120"/>
            </w:tcMar>
          </w:tcPr>
          <w:p>
            <w:r>
              <w:rPr>
                <w:rFonts w:ascii="Consolas" w:cs="Consolas" w:eastAsia="Consolas" w:hAnsi="Consolas"/>
                <w:sz w:val="20"/>
                <w:szCs w:val="20"/>
              </w:rPr>
              <w:t xml:space="preserve">GET /stats</w:t>
            </w:r>
          </w:p>
        </w:tc>
        <w:tc>
          <w:tcPr>
            <w:tcW w:type="dxa" w:w="4680"/>
            <w:tcMar>
              <w:top w:type="dxa" w:w="60"/>
              <w:left w:type="dxa" w:w="120"/>
              <w:bottom w:type="dxa" w:w="60"/>
              <w:right w:type="dxa" w:w="120"/>
            </w:tcMar>
          </w:tcPr>
          <w:p>
            <w:r>
              <w:rPr>
                <w:rFonts w:ascii="Times New Roman" w:cs="Times New Roman" w:eastAsia="Times New Roman" w:hAnsi="Times New Roman"/>
                <w:sz w:val="20"/>
                <w:szCs w:val="20"/>
              </w:rPr>
              <w:t xml:space="preserve">Métriques : nb de fichiers, taille des buckets, nb de lignes</w:t>
            </w:r>
          </w:p>
        </w:tc>
      </w:tr>
      <w:tr>
        <w:tc>
          <w:tcPr>
            <w:tcW w:type="dxa" w:w="4680"/>
            <w:tcMar>
              <w:top w:type="dxa" w:w="60"/>
              <w:left w:type="dxa" w:w="120"/>
              <w:bottom w:type="dxa" w:w="60"/>
              <w:right w:type="dxa" w:w="120"/>
            </w:tcMar>
          </w:tcPr>
          <w:p>
            <w:r>
              <w:rPr>
                <w:rFonts w:ascii="Consolas" w:cs="Consolas" w:eastAsia="Consolas" w:hAnsi="Consolas"/>
                <w:sz w:val="20"/>
                <w:szCs w:val="20"/>
              </w:rPr>
              <w:t xml:space="preserve">POST /ingest</w:t>
            </w:r>
          </w:p>
        </w:tc>
        <w:tc>
          <w:tcPr>
            <w:tcW w:type="dxa" w:w="4680"/>
            <w:tcMar>
              <w:top w:type="dxa" w:w="60"/>
              <w:left w:type="dxa" w:w="120"/>
              <w:bottom w:type="dxa" w:w="60"/>
              <w:right w:type="dxa" w:w="120"/>
            </w:tcMar>
          </w:tcPr>
          <w:p>
            <w:r>
              <w:rPr>
                <w:rFonts w:ascii="Times New Roman" w:cs="Times New Roman" w:eastAsia="Times New Roman" w:hAnsi="Times New Roman"/>
                <w:sz w:val="20"/>
                <w:szCs w:val="20"/>
              </w:rPr>
              <w:t xml:space="preserve">(Avancé) Ingère des données JSON dans le pipeline</w:t>
            </w:r>
          </w:p>
        </w:tc>
      </w:tr>
      <w:tr>
        <w:tc>
          <w:tcPr>
            <w:tcW w:type="dxa" w:w="4680"/>
            <w:tcMar>
              <w:top w:type="dxa" w:w="60"/>
              <w:left w:type="dxa" w:w="120"/>
              <w:bottom w:type="dxa" w:w="60"/>
              <w:right w:type="dxa" w:w="120"/>
            </w:tcMar>
          </w:tcPr>
          <w:p>
            <w:r>
              <w:rPr>
                <w:rFonts w:ascii="Consolas" w:cs="Consolas" w:eastAsia="Consolas" w:hAnsi="Consolas"/>
                <w:sz w:val="20"/>
                <w:szCs w:val="20"/>
              </w:rPr>
              <w:t xml:space="preserve">POST /ingest_fast</w:t>
            </w:r>
          </w:p>
        </w:tc>
        <w:tc>
          <w:tcPr>
            <w:tcW w:type="dxa" w:w="4680"/>
            <w:tcMar>
              <w:top w:type="dxa" w:w="60"/>
              <w:left w:type="dxa" w:w="120"/>
              <w:bottom w:type="dxa" w:w="60"/>
              <w:right w:type="dxa" w:w="120"/>
            </w:tcMar>
          </w:tcPr>
          <w:p>
            <w:r>
              <w:rPr>
                <w:rFonts w:ascii="Times New Roman" w:cs="Times New Roman" w:eastAsia="Times New Roman" w:hAnsi="Times New Roman"/>
                <w:sz w:val="20"/>
                <w:szCs w:val="20"/>
              </w:rPr>
              <w:t xml:space="preserve">(Avancé) Version optimisée, &gt; 30 % plus rapide</w:t>
            </w:r>
          </w:p>
        </w:tc>
      </w:tr>
    </w:tbl>
    <w:p>
      <w:pPr>
        <w:spacing w:after="160"/>
      </w:pPr>
    </w:p>
    <w:p>
      <w:pPr>
        <w:pStyle w:val="Heading2"/>
        <w:spacing w:after="140" w:before="240"/>
      </w:pPr>
      <w:r>
        <w:rPr>
          <w:rFonts w:ascii="Times New Roman" w:cs="Times New Roman" w:eastAsia="Times New Roman" w:hAnsi="Times New Roman"/>
          <w:b/>
          <w:bCs/>
          <w:color w:val="2E74B5"/>
          <w:sz w:val="26"/>
          <w:szCs w:val="26"/>
        </w:rPr>
        <w:t xml:space="preserve">5.2 Exemples de réponses</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INSÉRER CAPTURES — exemples d'appels et de réponses JSON (ex. /health, /stats, /curated). ]</w:t>
      </w:r>
    </w:p>
    <w:p>
      <w:pPr>
        <w:pStyle w:val="Heading1"/>
        <w:spacing w:after="200" w:before="360"/>
      </w:pPr>
      <w:r>
        <w:rPr>
          <w:rFonts w:ascii="Times New Roman" w:cs="Times New Roman" w:eastAsia="Times New Roman" w:hAnsi="Times New Roman"/>
          <w:b/>
          <w:bCs/>
          <w:color w:val="1F3864"/>
          <w:sz w:val="32"/>
          <w:szCs w:val="32"/>
        </w:rPr>
        <w:t xml:space="preserve">6. Niveau avancé : /ingest et /ingest_fast</w:t>
      </w:r>
    </w:p>
    <w:p>
      <w:pPr>
        <w:spacing w:after="160" w:line="276"/>
        <w:jc w:val="both"/>
      </w:pPr>
      <w:r>
        <w:rPr>
          <w:rFonts w:ascii="Times New Roman" w:cs="Times New Roman" w:eastAsia="Times New Roman" w:hAnsi="Times New Roman"/>
          <w:sz w:val="22"/>
          <w:szCs w:val="22"/>
        </w:rPr>
        <w:t xml:space="preserve">Cette partie répond au niveau avancé du sujet : exposer un endpoint d'ingestion, mesurer ses performances, puis en proposer une version optimisée d'au moins 30 % plus rapide.</w:t>
      </w:r>
    </w:p>
    <w:p>
      <w:pPr>
        <w:pStyle w:val="Heading2"/>
        <w:spacing w:after="140" w:before="240"/>
      </w:pPr>
      <w:r>
        <w:rPr>
          <w:rFonts w:ascii="Times New Roman" w:cs="Times New Roman" w:eastAsia="Times New Roman" w:hAnsi="Times New Roman"/>
          <w:b/>
          <w:bCs/>
          <w:color w:val="2E74B5"/>
          <w:sz w:val="26"/>
          <w:szCs w:val="26"/>
        </w:rPr>
        <w:t xml:space="preserve">6.1 L'approche</w:t>
      </w:r>
    </w:p>
    <w:p>
      <w:pPr>
        <w:spacing w:after="160" w:line="276"/>
        <w:jc w:val="both"/>
      </w:pPr>
      <w:r>
        <w:rPr>
          <w:rFonts w:ascii="Times New Roman" w:cs="Times New Roman" w:eastAsia="Times New Roman" w:hAnsi="Times New Roman"/>
          <w:sz w:val="22"/>
          <w:szCs w:val="22"/>
        </w:rPr>
        <w:t xml:space="preserve">L'endpoint /ingest accepte des données au format JSON et les propage à travers le pipeline. Je chronomètre son temps d'exécution sur deux tailles de lot : un seul élément, puis cent éléments. Ces mesures servent de base de comparaison.</w:t>
      </w:r>
    </w:p>
    <w:p>
      <w:pPr>
        <w:pStyle w:val="Heading2"/>
        <w:spacing w:after="140" w:before="240"/>
      </w:pPr>
      <w:r>
        <w:rPr>
          <w:rFonts w:ascii="Times New Roman" w:cs="Times New Roman" w:eastAsia="Times New Roman" w:hAnsi="Times New Roman"/>
          <w:b/>
          <w:bCs/>
          <w:color w:val="2E74B5"/>
          <w:sz w:val="26"/>
          <w:szCs w:val="26"/>
        </w:rPr>
        <w:t xml:space="preserve">6.2 Les optimisations mises en place</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À COMPLÉTER : lister les optimisations réellement utilisées pour /ingest_fast (vectorisation NumPy, traitement asynchrone, parallélisme, mise en cache, Numba…) et expliquer en une phrase pourquoi chacune accélère le traitement. ]</w:t>
      </w:r>
    </w:p>
    <w:p>
      <w:pPr>
        <w:pStyle w:val="Heading2"/>
        <w:spacing w:after="140" w:before="240"/>
      </w:pPr>
      <w:r>
        <w:rPr>
          <w:rFonts w:ascii="Times New Roman" w:cs="Times New Roman" w:eastAsia="Times New Roman" w:hAnsi="Times New Roman"/>
          <w:b/>
          <w:bCs/>
          <w:color w:val="2E74B5"/>
          <w:sz w:val="26"/>
          <w:szCs w:val="26"/>
        </w:rPr>
        <w:t xml:space="preserve">6.3 Résultats comparés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Taille du batch</w:t>
            </w:r>
          </w:p>
        </w:tc>
        <w:tc>
          <w:tcPr>
            <w:tcW w:type="dxa" w:w="2340"/>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/ingest (ms)</w:t>
            </w:r>
          </w:p>
        </w:tc>
        <w:tc>
          <w:tcPr>
            <w:tcW w:type="dxa" w:w="2340"/>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/ingest_fast (ms)</w:t>
            </w:r>
          </w:p>
        </w:tc>
        <w:tc>
          <w:tcPr>
            <w:tcW w:type="dxa" w:w="2340"/>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Gain (%)</w:t>
            </w:r>
          </w:p>
        </w:tc>
      </w:tr>
      <w:tr>
        <w:tc>
          <w:tcPr>
            <w:tcW w:type="dxa" w:w="2340"/>
            <w:tcMar>
              <w:top w:type="dxa" w:w="60"/>
              <w:left w:type="dxa" w:w="100"/>
              <w:bottom w:type="dxa" w:w="60"/>
              <w:right w:type="dxa" w:w="100"/>
            </w:tcMar>
          </w:tcPr>
          <w:p>
            <w:r>
              <w:rPr>
                <w:rFonts w:ascii="Times New Roman" w:cs="Times New Roman" w:eastAsia="Times New Roman" w:hAnsi="Times New Roman"/>
                <w:i w:val="false"/>
                <w:iCs w:val="false"/>
                <w:color w:val="000000"/>
                <w:sz w:val="20"/>
                <w:szCs w:val="20"/>
              </w:rPr>
              <w:t xml:space="preserve">1 élément</w:t>
            </w:r>
          </w:p>
        </w:tc>
        <w:tc>
          <w:tcPr>
            <w:tcW w:type="dxa" w:w="2340"/>
            <w:tcMar>
              <w:top w:type="dxa" w:w="60"/>
              <w:left w:type="dxa" w:w="100"/>
              <w:bottom w:type="dxa" w:w="60"/>
              <w:right w:type="dxa" w:w="100"/>
            </w:tcMar>
          </w:tcPr>
          <w:p>
            <w:r>
              <w:rPr>
                <w:rFonts w:ascii="Times New Roman" w:cs="Times New Roman" w:eastAsia="Times New Roman" w:hAnsi="Times New Roman"/>
                <w:i/>
                <w:iCs/>
                <w:color w:val="C00000"/>
                <w:sz w:val="20"/>
                <w:szCs w:val="20"/>
              </w:rPr>
              <w:t xml:space="preserve">[…]</w:t>
            </w:r>
          </w:p>
        </w:tc>
        <w:tc>
          <w:tcPr>
            <w:tcW w:type="dxa" w:w="2340"/>
            <w:tcMar>
              <w:top w:type="dxa" w:w="60"/>
              <w:left w:type="dxa" w:w="100"/>
              <w:bottom w:type="dxa" w:w="60"/>
              <w:right w:type="dxa" w:w="100"/>
            </w:tcMar>
          </w:tcPr>
          <w:p>
            <w:r>
              <w:rPr>
                <w:rFonts w:ascii="Times New Roman" w:cs="Times New Roman" w:eastAsia="Times New Roman" w:hAnsi="Times New Roman"/>
                <w:i/>
                <w:iCs/>
                <w:color w:val="C00000"/>
                <w:sz w:val="20"/>
                <w:szCs w:val="20"/>
              </w:rPr>
              <w:t xml:space="preserve">[…]</w:t>
            </w:r>
          </w:p>
        </w:tc>
        <w:tc>
          <w:tcPr>
            <w:tcW w:type="dxa" w:w="2340"/>
            <w:tcMar>
              <w:top w:type="dxa" w:w="60"/>
              <w:left w:type="dxa" w:w="100"/>
              <w:bottom w:type="dxa" w:w="60"/>
              <w:right w:type="dxa" w:w="100"/>
            </w:tcMar>
          </w:tcPr>
          <w:p>
            <w:r>
              <w:rPr>
                <w:rFonts w:ascii="Times New Roman" w:cs="Times New Roman" w:eastAsia="Times New Roman" w:hAnsi="Times New Roman"/>
                <w:i/>
                <w:iCs/>
                <w:color w:val="C00000"/>
                <w:sz w:val="20"/>
                <w:szCs w:val="20"/>
              </w:rPr>
              <w:t xml:space="preserve">[…]</w:t>
            </w:r>
          </w:p>
        </w:tc>
      </w:tr>
      <w:tr>
        <w:tc>
          <w:tcPr>
            <w:tcW w:type="dxa" w:w="2340"/>
            <w:tcMar>
              <w:top w:type="dxa" w:w="60"/>
              <w:left w:type="dxa" w:w="100"/>
              <w:bottom w:type="dxa" w:w="60"/>
              <w:right w:type="dxa" w:w="100"/>
            </w:tcMar>
          </w:tcPr>
          <w:p>
            <w:r>
              <w:rPr>
                <w:rFonts w:ascii="Times New Roman" w:cs="Times New Roman" w:eastAsia="Times New Roman" w:hAnsi="Times New Roman"/>
                <w:i w:val="false"/>
                <w:iCs w:val="false"/>
                <w:color w:val="000000"/>
                <w:sz w:val="20"/>
                <w:szCs w:val="20"/>
              </w:rPr>
              <w:t xml:space="preserve">100 éléments</w:t>
            </w:r>
          </w:p>
        </w:tc>
        <w:tc>
          <w:tcPr>
            <w:tcW w:type="dxa" w:w="2340"/>
            <w:tcMar>
              <w:top w:type="dxa" w:w="60"/>
              <w:left w:type="dxa" w:w="100"/>
              <w:bottom w:type="dxa" w:w="60"/>
              <w:right w:type="dxa" w:w="100"/>
            </w:tcMar>
          </w:tcPr>
          <w:p>
            <w:r>
              <w:rPr>
                <w:rFonts w:ascii="Times New Roman" w:cs="Times New Roman" w:eastAsia="Times New Roman" w:hAnsi="Times New Roman"/>
                <w:i/>
                <w:iCs/>
                <w:color w:val="C00000"/>
                <w:sz w:val="20"/>
                <w:szCs w:val="20"/>
              </w:rPr>
              <w:t xml:space="preserve">[…]</w:t>
            </w:r>
          </w:p>
        </w:tc>
        <w:tc>
          <w:tcPr>
            <w:tcW w:type="dxa" w:w="2340"/>
            <w:tcMar>
              <w:top w:type="dxa" w:w="60"/>
              <w:left w:type="dxa" w:w="100"/>
              <w:bottom w:type="dxa" w:w="60"/>
              <w:right w:type="dxa" w:w="100"/>
            </w:tcMar>
          </w:tcPr>
          <w:p>
            <w:r>
              <w:rPr>
                <w:rFonts w:ascii="Times New Roman" w:cs="Times New Roman" w:eastAsia="Times New Roman" w:hAnsi="Times New Roman"/>
                <w:i/>
                <w:iCs/>
                <w:color w:val="C00000"/>
                <w:sz w:val="20"/>
                <w:szCs w:val="20"/>
              </w:rPr>
              <w:t xml:space="preserve">[…]</w:t>
            </w:r>
          </w:p>
        </w:tc>
        <w:tc>
          <w:tcPr>
            <w:tcW w:type="dxa" w:w="2340"/>
            <w:tcMar>
              <w:top w:type="dxa" w:w="60"/>
              <w:left w:type="dxa" w:w="100"/>
              <w:bottom w:type="dxa" w:w="60"/>
              <w:right w:type="dxa" w:w="100"/>
            </w:tcMar>
          </w:tcPr>
          <w:p>
            <w:r>
              <w:rPr>
                <w:rFonts w:ascii="Times New Roman" w:cs="Times New Roman" w:eastAsia="Times New Roman" w:hAnsi="Times New Roman"/>
                <w:i/>
                <w:iCs/>
                <w:color w:val="C00000"/>
                <w:sz w:val="20"/>
                <w:szCs w:val="20"/>
              </w:rPr>
              <w:t xml:space="preserve">[…]</w:t>
            </w:r>
          </w:p>
        </w:tc>
      </w:tr>
    </w:tbl>
    <w:p>
      <w:pPr>
        <w:spacing w:after="160"/>
      </w:pP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À COMPLÉTER : commenter le gain obtenu. As-tu dépassé les 30 % exigés ? Sur quelle taille de batch le gain est-il le plus net, et pourquoi ? ]</w:t>
      </w:r>
    </w:p>
    <w:p>
      <w:pPr>
        <w:spacing w:after="160"/>
      </w:pPr>
      <w:r>
        <w:rPr>
          <w:rFonts w:ascii="Times New Roman" w:cs="Times New Roman" w:eastAsia="Times New Roman" w:hAnsi="Times New Roman"/>
          <w:i/>
          <w:iCs/>
          <w:color w:val="808080"/>
          <w:sz w:val="20"/>
          <w:szCs w:val="20"/>
        </w:rPr>
        <w:t xml:space="preserve">💡 Conseil de rédaction — C'est LA section qui rapporte le t-shirt. Sois précis sur la méthode de mesure (moyenne sur N essais, machine utilisée) pour que les chiffres soient crédibles.</w:t>
      </w:r>
    </w:p>
    <w:p>
      <w:pPr>
        <w:pStyle w:val="Heading1"/>
        <w:spacing w:after="200" w:before="360"/>
      </w:pPr>
      <w:r>
        <w:rPr>
          <w:rFonts w:ascii="Times New Roman" w:cs="Times New Roman" w:eastAsia="Times New Roman" w:hAnsi="Times New Roman"/>
          <w:b/>
          <w:bCs/>
          <w:color w:val="1F3864"/>
          <w:sz w:val="32"/>
          <w:szCs w:val="32"/>
        </w:rPr>
        <w:t xml:space="preserve">7. Le dashboard médical</w:t>
      </w:r>
    </w:p>
    <w:p>
      <w:pPr>
        <w:spacing w:after="160" w:line="276"/>
        <w:jc w:val="both"/>
      </w:pPr>
      <w:r>
        <w:rPr>
          <w:rFonts w:ascii="Times New Roman" w:cs="Times New Roman" w:eastAsia="Times New Roman" w:hAnsi="Times New Roman"/>
          <w:sz w:val="22"/>
          <w:szCs w:val="22"/>
        </w:rPr>
        <w:t xml:space="preserve">Le dashboard consomme uniquement l'API (jamais la base directement) et permet de visualiser les signaux ingérés ainsi que les détections du modèle.</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INSÉRER CAPTURES du dashboard — vue des signaux, alertes de détection, métriques du data lake. ]</w:t>
      </w:r>
    </w:p>
    <w:p>
      <w:pPr>
        <w:pStyle w:val="Heading1"/>
        <w:spacing w:after="200" w:before="360"/>
      </w:pPr>
      <w:r>
        <w:rPr>
          <w:rFonts w:ascii="Times New Roman" w:cs="Times New Roman" w:eastAsia="Times New Roman" w:hAnsi="Times New Roman"/>
          <w:b/>
          <w:bCs/>
          <w:color w:val="1F3864"/>
          <w:sz w:val="32"/>
          <w:szCs w:val="32"/>
        </w:rPr>
        <w:t xml:space="preserve">8. Limites et honnêteté</w:t>
      </w:r>
    </w:p>
    <w:p>
      <w:pPr>
        <w:spacing w:after="160" w:line="276"/>
        <w:jc w:val="both"/>
      </w:pPr>
      <w:r>
        <w:rPr>
          <w:rFonts w:ascii="Times New Roman" w:cs="Times New Roman" w:eastAsia="Times New Roman" w:hAnsi="Times New Roman"/>
          <w:sz w:val="22"/>
          <w:szCs w:val="22"/>
        </w:rPr>
        <w:t xml:space="preserve">Plutôt que de présenter le projet comme parfait, je préfère assumer clairement ses limites — c'est plus utile et plus honnête.</w:t>
      </w:r>
    </w:p>
    <w:p>
      <w:pPr>
        <w:pStyle w:val="ListParagraph"/>
        <w:numPr>
          <w:ilvl w:val="0"/>
          <w:numId w:val="1"/>
        </w:numPr>
        <w:spacing w:after="100" w:line="276"/>
      </w:pPr>
      <w:r>
        <w:rPr>
          <w:rFonts w:ascii="Times New Roman" w:cs="Times New Roman" w:eastAsia="Times New Roman" w:hAnsi="Times New Roman"/>
          <w:b/>
          <w:bCs/>
          <w:sz w:val="22"/>
          <w:szCs w:val="22"/>
        </w:rPr>
        <w:t xml:space="preserve">Qualité des données — </w:t>
      </w:r>
      <w:r>
        <w:rPr>
          <w:rFonts w:ascii="Times New Roman" w:cs="Times New Roman" w:eastAsia="Times New Roman" w:hAnsi="Times New Roman"/>
          <w:sz w:val="22"/>
          <w:szCs w:val="22"/>
        </w:rPr>
        <w:t xml:space="preserve">les signaux médicaux réels contiennent des artefacts (mouvements, perte de contact des capteurs) que mon prétraitement ne gère que partiellement.</w:t>
      </w:r>
    </w:p>
    <w:p>
      <w:pPr>
        <w:pStyle w:val="ListParagraph"/>
        <w:numPr>
          <w:ilvl w:val="0"/>
          <w:numId w:val="1"/>
        </w:numPr>
        <w:spacing w:after="100" w:line="276"/>
      </w:pPr>
      <w:r>
        <w:rPr>
          <w:rFonts w:ascii="Times New Roman" w:cs="Times New Roman" w:eastAsia="Times New Roman" w:hAnsi="Times New Roman"/>
          <w:b/>
          <w:bCs/>
          <w:sz w:val="22"/>
          <w:szCs w:val="22"/>
        </w:rPr>
        <w:t xml:space="preserve">Déséquilibre des classes — </w:t>
      </w:r>
      <w:r>
        <w:rPr>
          <w:rFonts w:ascii="Times New Roman" w:cs="Times New Roman" w:eastAsia="Times New Roman" w:hAnsi="Times New Roman"/>
          <w:sz w:val="22"/>
          <w:szCs w:val="22"/>
        </w:rPr>
        <w:t xml:space="preserve">les événements rares (crises, arythmies) sont minoritaires, ce qui complique l'apprentissage et impose des précautions (pondération des classes).</w:t>
      </w:r>
    </w:p>
    <w:p>
      <w:pPr>
        <w:pStyle w:val="ListParagraph"/>
        <w:numPr>
          <w:ilvl w:val="0"/>
          <w:numId w:val="1"/>
        </w:numPr>
        <w:spacing w:after="100" w:line="276"/>
      </w:pPr>
      <w:r>
        <w:rPr>
          <w:rFonts w:ascii="Times New Roman" w:cs="Times New Roman" w:eastAsia="Times New Roman" w:hAnsi="Times New Roman"/>
          <w:b/>
          <w:bCs/>
          <w:sz w:val="22"/>
          <w:szCs w:val="22"/>
        </w:rPr>
        <w:t xml:space="preserve">Performances — </w:t>
      </w:r>
      <w:r>
        <w:rPr>
          <w:rFonts w:ascii="Times New Roman" w:cs="Times New Roman" w:eastAsia="Times New Roman" w:hAnsi="Times New Roman"/>
          <w:sz w:val="22"/>
          <w:szCs w:val="22"/>
        </w:rPr>
        <w:t xml:space="preserve">les mesures de /ingest_fast dépendent de la machine et de la charge ; elles illustrent un gain, elles ne constituent pas un benchmark industriel.</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À PERSONNALISER : ajoute les limites concrètes que TU as rencontrées en construisant le projet. C'est cette honnêteté qui distingue un bon rapport. ]</w:t>
      </w:r>
    </w:p>
    <w:p>
      <w:pPr>
        <w:pStyle w:val="Heading1"/>
        <w:spacing w:after="200" w:before="360"/>
      </w:pPr>
      <w:r>
        <w:rPr>
          <w:rFonts w:ascii="Times New Roman" w:cs="Times New Roman" w:eastAsia="Times New Roman" w:hAnsi="Times New Roman"/>
          <w:b/>
          <w:bCs/>
          <w:color w:val="1F3864"/>
          <w:sz w:val="32"/>
          <w:szCs w:val="32"/>
        </w:rPr>
        <w:t xml:space="preserve">9. Ce que je retiens de ce projet</w:t>
      </w:r>
    </w:p>
    <w:p>
      <w:pPr>
        <w:spacing w:after="160"/>
      </w:pPr>
      <w:r>
        <w:rPr>
          <w:rFonts w:ascii="Times New Roman" w:cs="Times New Roman" w:eastAsia="Times New Roman" w:hAnsi="Times New Roman"/>
          <w:i/>
          <w:iCs/>
          <w:color w:val="808080"/>
          <w:sz w:val="20"/>
          <w:szCs w:val="20"/>
        </w:rPr>
        <w:t xml:space="preserve">💡 Conseil de rédaction — Cette section doit être écrite par toi, avec tes vrais mots. Voici des pistes de réflexion pour t'aider à démarrer — remplace-les par ton vécu.</w:t>
      </w:r>
    </w:p>
    <w:p>
      <w:pPr>
        <w:pStyle w:val="ListParagraph"/>
        <w:numPr>
          <w:ilvl w:val="0"/>
          <w:numId w:val="1"/>
        </w:numPr>
        <w:spacing w:after="100" w:line="276"/>
      </w:pPr>
      <w:r>
        <w:rPr>
          <w:rFonts w:ascii="Times New Roman" w:cs="Times New Roman" w:eastAsia="Times New Roman" w:hAnsi="Times New Roman"/>
          <w:sz w:val="22"/>
          <w:szCs w:val="22"/>
        </w:rPr>
        <w:t xml:space="preserve">Qu'est-ce que le pattern « une infra, plusieurs domaines » m'a appris sur la conception de systèmes de données ?</w:t>
      </w:r>
    </w:p>
    <w:p>
      <w:pPr>
        <w:pStyle w:val="ListParagraph"/>
        <w:numPr>
          <w:ilvl w:val="0"/>
          <w:numId w:val="1"/>
        </w:numPr>
        <w:spacing w:after="100" w:line="276"/>
      </w:pPr>
      <w:r>
        <w:rPr>
          <w:rFonts w:ascii="Times New Roman" w:cs="Times New Roman" w:eastAsia="Times New Roman" w:hAnsi="Times New Roman"/>
          <w:sz w:val="22"/>
          <w:szCs w:val="22"/>
        </w:rPr>
        <w:t xml:space="preserve">Qu'est-ce qui a été plus dur que prévu (Docker ? l'orchestration Airflow ? le déséquilibre des classes ?) et comment je l'ai résolu ?</w:t>
      </w:r>
    </w:p>
    <w:p>
      <w:pPr>
        <w:pStyle w:val="ListParagraph"/>
        <w:numPr>
          <w:ilvl w:val="0"/>
          <w:numId w:val="1"/>
        </w:numPr>
        <w:spacing w:after="100" w:line="276"/>
      </w:pPr>
      <w:r>
        <w:rPr>
          <w:rFonts w:ascii="Times New Roman" w:cs="Times New Roman" w:eastAsia="Times New Roman" w:hAnsi="Times New Roman"/>
          <w:sz w:val="22"/>
          <w:szCs w:val="22"/>
        </w:rPr>
        <w:t xml:space="preserve">Qu'est-ce que l'optimisation /ingest_fast m'a appris sur la différence entre « ça marche » et « c'est performant » ?</w:t>
      </w:r>
    </w:p>
    <w:p>
      <w:pPr>
        <w:pStyle w:val="ListParagraph"/>
        <w:numPr>
          <w:ilvl w:val="0"/>
          <w:numId w:val="1"/>
        </w:numPr>
        <w:spacing w:after="100" w:line="276"/>
      </w:pPr>
      <w:r>
        <w:rPr>
          <w:rFonts w:ascii="Times New Roman" w:cs="Times New Roman" w:eastAsia="Times New Roman" w:hAnsi="Times New Roman"/>
          <w:sz w:val="22"/>
          <w:szCs w:val="22"/>
        </w:rPr>
        <w:t xml:space="preserve">Si je devais continuer le projet, quelle serait la prochaine amélioration ?</w:t>
      </w:r>
    </w:p>
    <w:p>
      <w:pPr>
        <w:pBdr>
          <w:top w:val="single" w:color="C00000" w:sz="6"/>
          <w:bottom w:val="single" w:color="C00000" w:sz="6"/>
          <w:left w:val="single" w:color="C00000" w:sz="6"/>
          <w:right w:val="single" w:color="C00000" w:sz="6"/>
        </w:pBdr>
        <w:shd w:fill="FDECEA" w:val="clear"/>
        <w:spacing w:after="160" w:before="120"/>
      </w:pPr>
      <w:r>
        <w:rPr>
          <w:rFonts w:ascii="Times New Roman" w:cs="Times New Roman" w:eastAsia="Times New Roman" w:hAnsi="Times New Roman"/>
          <w:b/>
          <w:bCs/>
          <w:i/>
          <w:iCs/>
          <w:color w:val="C00000"/>
          <w:sz w:val="22"/>
          <w:szCs w:val="22"/>
        </w:rPr>
        <w:t xml:space="preserve">  [ À RÉDIGER : ta conclusion personnelle, honnête, sur ce que ce projet t'a apporté techniquement. ]</w:t>
      </w:r>
    </w:p>
    <w:p>
      <w:pPr>
        <w:pStyle w:val="Heading1"/>
        <w:spacing w:after="200" w:before="360"/>
      </w:pPr>
      <w:r>
        <w:rPr>
          <w:rFonts w:ascii="Times New Roman" w:cs="Times New Roman" w:eastAsia="Times New Roman" w:hAnsi="Times New Roman"/>
          <w:b/>
          <w:bCs/>
          <w:color w:val="1F3864"/>
          <w:sz w:val="32"/>
          <w:szCs w:val="32"/>
        </w:rPr>
        <w:t xml:space="preserve">Annexes</w:t>
      </w:r>
    </w:p>
    <w:p>
      <w:pPr>
        <w:pStyle w:val="ListParagraph"/>
        <w:numPr>
          <w:ilvl w:val="0"/>
          <w:numId w:val="1"/>
        </w:numPr>
        <w:spacing w:after="100" w:line="276"/>
      </w:pPr>
      <w:r>
        <w:rPr>
          <w:rFonts w:ascii="Times New Roman" w:cs="Times New Roman" w:eastAsia="Times New Roman" w:hAnsi="Times New Roman"/>
          <w:sz w:val="22"/>
          <w:szCs w:val="22"/>
        </w:rPr>
        <w:t xml:space="preserve">Dépôt GitHub : [ INSÉRER LE LIEN ]</w:t>
      </w:r>
    </w:p>
    <w:p>
      <w:pPr>
        <w:pStyle w:val="ListParagraph"/>
        <w:numPr>
          <w:ilvl w:val="0"/>
          <w:numId w:val="1"/>
        </w:numPr>
        <w:spacing w:after="100" w:line="276"/>
      </w:pPr>
      <w:r>
        <w:rPr>
          <w:rFonts w:ascii="Times New Roman" w:cs="Times New Roman" w:eastAsia="Times New Roman" w:hAnsi="Times New Roman"/>
          <w:sz w:val="22"/>
          <w:szCs w:val="22"/>
        </w:rPr>
        <w:t xml:space="preserve">Sources de données : [ INSÉRER LES LIENS des datasets et de l'API ]</w:t>
      </w:r>
    </w:p>
    <w:p>
      <w:pPr>
        <w:pStyle w:val="ListParagraph"/>
        <w:numPr>
          <w:ilvl w:val="0"/>
          <w:numId w:val="1"/>
        </w:numPr>
        <w:spacing w:after="100" w:line="276"/>
      </w:pPr>
      <w:r>
        <w:rPr>
          <w:rFonts w:ascii="Times New Roman" w:cs="Times New Roman" w:eastAsia="Times New Roman" w:hAnsi="Times New Roman"/>
          <w:sz w:val="22"/>
          <w:szCs w:val="22"/>
        </w:rPr>
        <w:t xml:space="preserve">Documentation interne : ARCHITECTURE.md, SPECS.md, GUIDE.md (fournis dans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pPr>
    <w:r>
      <w:rPr>
        <w:rFonts w:ascii="Times New Roman" w:cs="Times New Roman" w:eastAsia="Times New Roman" w:hAnsi="Times New Roman"/>
        <w:color w:val="808080"/>
        <w:sz w:val="18"/>
        <w:szCs w:val="18"/>
      </w:rPr>
      <w:t xml:space="preserve">Data Lakes &amp; Data Integration</w:t>
    </w:r>
    <w:r>
      <w:rPr>
        <w:rFonts w:ascii="Times New Roman" w:cs="Times New Roman" w:eastAsia="Times New Roman" w:hAnsi="Times New Roman"/>
        <w:color w:val="808080"/>
        <w:sz w:val="18"/>
        <w:szCs w:val="18"/>
      </w:rPr>
      <w:t xml:space="preserve">		Projet Final — EFREI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Data Lake médical</dc:title>
  <dc:creator>Projet Data Lake</dc:creator>
  <cp:lastModifiedBy>Un-named</cp:lastModifiedBy>
  <cp:revision>1</cp:revision>
  <dcterms:created xsi:type="dcterms:W3CDTF">2026-07-07T18:24:22.692Z</dcterms:created>
  <dcterms:modified xsi:type="dcterms:W3CDTF">2026-07-07T18:24:22.706Z</dcterms:modified>
</cp:coreProperties>
</file>

<file path=docProps/custom.xml><?xml version="1.0" encoding="utf-8"?>
<Properties xmlns="http://schemas.openxmlformats.org/officeDocument/2006/custom-properties" xmlns:vt="http://schemas.openxmlformats.org/officeDocument/2006/docPropsVTypes"/>
</file>