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5" w:name="content"/>
    <w:bookmarkStart w:id="84" w:name="한국에서-ai-기반-부부상담-앱의-정책법적-리스크-저감-조치-로드맵"/>
    <w:p>
      <w:pPr>
        <w:pStyle w:val="Heading1"/>
      </w:pPr>
      <w:r>
        <w:t xml:space="preserve">한국에서 AI 기반 부부상담 앱의 정책·법적 리스크 저감 조치 로드맵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AI 기반 “부부상담” 앱은 사용자 대화가</w:t>
      </w:r>
      <w:r>
        <w:t xml:space="preserve"> </w:t>
      </w:r>
      <w:r>
        <w:rPr>
          <w:b/>
          <w:bCs/>
        </w:rPr>
        <w:t xml:space="preserve">관계·정신건강·성생활·가정폭력</w:t>
      </w:r>
      <w:r>
        <w:t xml:space="preserve"> </w:t>
      </w:r>
      <w:r>
        <w:t xml:space="preserve">등으로 확장될 가능성이 높아,</w:t>
      </w:r>
      <w:r>
        <w:t xml:space="preserve"> </w:t>
      </w:r>
      <w:r>
        <w:rPr>
          <w:b/>
          <w:bCs/>
        </w:rPr>
        <w:t xml:space="preserve">개인정보 보호(특히 민감정보)</w:t>
      </w:r>
      <w:r>
        <w:t xml:space="preserve">와</w:t>
      </w:r>
      <w:r>
        <w:t xml:space="preserve"> </w:t>
      </w:r>
      <w:r>
        <w:rPr>
          <w:b/>
          <w:bCs/>
        </w:rPr>
        <w:t xml:space="preserve">의료행위(무면허 의료행위) 오인</w:t>
      </w:r>
      <w:r>
        <w:t xml:space="preserve">,</w:t>
      </w:r>
      <w:r>
        <w:t xml:space="preserve"> </w:t>
      </w:r>
      <w:r>
        <w:rPr>
          <w:b/>
          <w:bCs/>
        </w:rPr>
        <w:t xml:space="preserve">광고·표시의 과장</w:t>
      </w:r>
      <w:r>
        <w:t xml:space="preserve">,</w:t>
      </w:r>
      <w:r>
        <w:t xml:space="preserve"> </w:t>
      </w:r>
      <w:r>
        <w:rPr>
          <w:b/>
          <w:bCs/>
        </w:rPr>
        <w:t xml:space="preserve">위기상황 대응 미흡</w:t>
      </w:r>
      <w:r>
        <w:t xml:space="preserve">,</w:t>
      </w:r>
      <w:r>
        <w:t xml:space="preserve"> </w:t>
      </w:r>
      <w:r>
        <w:rPr>
          <w:b/>
          <w:bCs/>
        </w:rPr>
        <w:t xml:space="preserve">외부 LLM/클라우드 위탁·국외이전</w:t>
      </w:r>
      <w:r>
        <w:t xml:space="preserve">에서 규제 리스크가 집중된다. 이 중 법집행·분쟁으로 직결될 비중이 큰 축은 (i)</w:t>
      </w:r>
      <w:r>
        <w:t xml:space="preserve"> </w:t>
      </w:r>
      <w:r>
        <w:rPr>
          <w:b/>
          <w:bCs/>
        </w:rPr>
        <w:t xml:space="preserve">민감정보 처리 적법성(동의·목적·보관·파기·유출 대응)</w:t>
      </w:r>
      <w:r>
        <w:t xml:space="preserve">, (ii)</w:t>
      </w:r>
      <w:r>
        <w:t xml:space="preserve"> </w:t>
      </w:r>
      <w:r>
        <w:rPr>
          <w:b/>
          <w:bCs/>
        </w:rPr>
        <w:t xml:space="preserve">의료행위/치료효과 표방 회피</w:t>
      </w:r>
      <w:r>
        <w:t xml:space="preserve">, (iii)</w:t>
      </w:r>
      <w:r>
        <w:t xml:space="preserve"> </w:t>
      </w:r>
      <w:r>
        <w:rPr>
          <w:b/>
          <w:bCs/>
        </w:rPr>
        <w:t xml:space="preserve">AI 투명성(사전 고지 및 생성물 표시)</w:t>
      </w:r>
      <w:r>
        <w:t xml:space="preserve">, (iv)</w:t>
      </w:r>
      <w:r>
        <w:t xml:space="preserve"> </w:t>
      </w:r>
      <w:r>
        <w:rPr>
          <w:b/>
          <w:bCs/>
        </w:rPr>
        <w:t xml:space="preserve">위탁·재위탁·국외이전 통제</w:t>
      </w:r>
      <w:r>
        <w:t xml:space="preserve">, (v)</w:t>
      </w:r>
      <w:r>
        <w:t xml:space="preserve"> </w:t>
      </w:r>
      <w:r>
        <w:rPr>
          <w:b/>
          <w:bCs/>
        </w:rPr>
        <w:t xml:space="preserve">마케팅 수신동의 관리</w:t>
      </w:r>
      <w:r>
        <w:t xml:space="preserve">다.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따라서 “실행 가능한” 우선순위는 다음과 같이 정리된다.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최우선(출시 전 게이트)</w:t>
      </w:r>
      <w:r>
        <w:t xml:space="preserve">: 민감정보 별도 동의/분리 보관/최소수집/파기(보유기간) 체계 구축, 외부 LLM 위탁·국외이전 고지 및 계약, AI 라벨링(UI) 구현, 의료행위 회피(표시·서비스 범위·프롬프트 정책), 위기 대응 프로토콜(자해·가정폭력) 내장.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중요(출시 직후 4–8주)</w:t>
      </w:r>
      <w:r>
        <w:t xml:space="preserve">: 접근통제·암호화·로그·키관리 고도화(법정 “안전조치” 충족), 전자상거래/정기결제 고지·청약철회/환불 정책 정합화, 광고 심의·표시광고·약관 불공정 리스크 점검, 내부 교육·감사체계 운영.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지속(상시)</w:t>
      </w:r>
      <w:r>
        <w:t xml:space="preserve">: 침해사고 대응 모의훈련, 모델/프롬프트 업데이트 시 영향평가(privacy-by-design), 고객 민원·분쟁 대응 매뉴얼, 데이터 최소화 재점검 및 삭제요청 SLA 운영.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bookmarkEnd w:id="24"/>
    <w:bookmarkStart w:id="29" w:name="범위와-가정"/>
    <w:p>
      <w:pPr>
        <w:pStyle w:val="Heading2"/>
      </w:pPr>
      <w:r>
        <w:t xml:space="preserve">범위와 가정</w:t>
      </w:r>
    </w:p>
    <w:p>
      <w:pPr>
        <w:pStyle w:val="FirstParagraph"/>
      </w:pPr>
      <w:r>
        <w:t xml:space="preserve">본 보고서는</w:t>
      </w:r>
      <w:r>
        <w:t xml:space="preserve"> </w:t>
      </w:r>
      <w:r>
        <w:rPr>
          <w:b/>
          <w:bCs/>
        </w:rPr>
        <w:t xml:space="preserve">“AI 기반 부부상담 앱 서비스”</w:t>
      </w:r>
      <w:r>
        <w:t xml:space="preserve">를 다음과 같이 가정한다(가정이 달라지면 적용 요건은 일부 변경될 수 있으며, 변경 지점은 ‘미지정’으로 표시 가능).</w:t>
      </w:r>
    </w:p>
    <w:p>
      <w:pPr>
        <w:pStyle w:val="Compact"/>
        <w:numPr>
          <w:ilvl w:val="0"/>
          <w:numId w:val="1002"/>
        </w:numPr>
      </w:pPr>
      <w:r>
        <w:t xml:space="preserve">앱은</w:t>
      </w:r>
      <w:r>
        <w:t xml:space="preserve"> </w:t>
      </w:r>
      <w:r>
        <w:rPr>
          <w:b/>
          <w:bCs/>
        </w:rPr>
        <w:t xml:space="preserve">텍스트/음성 기반 대화</w:t>
      </w:r>
      <w:r>
        <w:t xml:space="preserve">로 관계·소통·갈등 완화를 위한 가이드를 제공하며, 사용자는</w:t>
      </w:r>
      <w:r>
        <w:t xml:space="preserve"> </w:t>
      </w:r>
      <w:r>
        <w:rPr>
          <w:b/>
          <w:bCs/>
        </w:rPr>
        <w:t xml:space="preserve">개인적 서사(배우자 정보 포함)</w:t>
      </w:r>
      <w:r>
        <w:t xml:space="preserve">를 입력할 수 있다(제3자 정보 포함 가능).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2"/>
        </w:numPr>
      </w:pPr>
      <w:r>
        <w:t xml:space="preserve">서비스는</w:t>
      </w:r>
      <w:r>
        <w:t xml:space="preserve"> </w:t>
      </w:r>
      <w:r>
        <w:rPr>
          <w:b/>
          <w:bCs/>
        </w:rPr>
        <w:t xml:space="preserve">의료기관/의료인 면허 기반 진료가 아닌 “비의료 상담/코칭”</w:t>
      </w:r>
      <w:r>
        <w:t xml:space="preserve">을 표방하되, 사용자 질문이 우울·불안·성기능·자해 등으로 확장될 수 있다.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2"/>
        </w:numPr>
      </w:pPr>
      <w:r>
        <w:t xml:space="preserve">외부</w:t>
      </w:r>
      <w:r>
        <w:t xml:space="preserve"> </w:t>
      </w:r>
      <w:r>
        <w:rPr>
          <w:b/>
          <w:bCs/>
        </w:rPr>
        <w:t xml:space="preserve">LLM API 또는 클라우드</w:t>
      </w:r>
      <w:r>
        <w:t xml:space="preserve">를 이용할 수 있으며, 이 경우 통상</w:t>
      </w:r>
      <w:r>
        <w:t xml:space="preserve"> </w:t>
      </w:r>
      <w:r>
        <w:rPr>
          <w:b/>
          <w:bCs/>
        </w:rPr>
        <w:t xml:space="preserve">업무위탁</w:t>
      </w:r>
      <w:r>
        <w:t xml:space="preserve"> </w:t>
      </w:r>
      <w:r>
        <w:t xml:space="preserve">및 경우에 따라</w:t>
      </w:r>
      <w:r>
        <w:t xml:space="preserve"> </w:t>
      </w:r>
      <w:r>
        <w:rPr>
          <w:b/>
          <w:bCs/>
        </w:rPr>
        <w:t xml:space="preserve">국외이전(조회 포함)</w:t>
      </w:r>
      <w:r>
        <w:t xml:space="preserve">이 발생할 수 있다.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t xml:space="preserve">유료 구독/인앱결제 등 전자상거래 요소가 있을 수 있다(결제 구조에 따라 전자금융거래법 직접 적용 범위는</w:t>
      </w:r>
      <w:r>
        <w:t xml:space="preserve"> </w:t>
      </w:r>
      <w:r>
        <w:rPr>
          <w:b/>
          <w:bCs/>
        </w:rPr>
        <w:t xml:space="preserve">미지정</w:t>
      </w:r>
      <w:r>
        <w:t xml:space="preserve">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t xml:space="preserve">※ 본 문서는 일반 정보 제공 목적이며, 최종 법적 판단은 사실관계·최신 법령·관할기관 해석에 따라 달라질 수 있다(특히 “의료행위 해당성”은 사안별 판단).</w:t>
      </w:r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</w:p>
    <w:bookmarkEnd w:id="29"/>
    <w:bookmarkStart w:id="51" w:name="필수권장-조치-로드맵"/>
    <w:p>
      <w:pPr>
        <w:pStyle w:val="Heading2"/>
      </w:pPr>
      <w:r>
        <w:t xml:space="preserve">필수·권장 조치 로드맵</w:t>
      </w:r>
    </w:p>
    <w:bookmarkStart w:id="46" w:name="법적-근거-발췌-키"/>
    <w:p>
      <w:pPr>
        <w:pStyle w:val="Heading3"/>
      </w:pPr>
      <w:r>
        <w:t xml:space="preserve">법적 근거 발췌 키</w:t>
      </w:r>
    </w:p>
    <w:p>
      <w:pPr>
        <w:pStyle w:val="FirstParagraph"/>
      </w:pPr>
      <w:r>
        <w:t xml:space="preserve">아래 “발췌 키”는 조치 표의 법적 근거 칸에서 반복 인용을 줄이기 위해 사용한다(동일 조문을 다수 조치에 연결). 모든 발췌는 원문(한국어)이며, 표 내부의 문구 길이는 최소한으로 제한했다.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발췌 키</w:t>
            </w:r>
          </w:p>
        </w:tc>
        <w:tc>
          <w:tcPr/>
          <w:p>
            <w:pPr>
              <w:pStyle w:val="Compact"/>
            </w:pPr>
            <w:r>
              <w:t xml:space="preserve">법령·조문</w:t>
            </w:r>
          </w:p>
        </w:tc>
        <w:tc>
          <w:tcPr/>
          <w:p>
            <w:pPr>
              <w:pStyle w:val="Compact"/>
            </w:pPr>
            <w:r>
              <w:t xml:space="preserve">원문 발췌(25단어 이내)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P-민감</w:t>
            </w:r>
          </w:p>
        </w:tc>
        <w:tc>
          <w:tcPr/>
          <w:p>
            <w:pPr>
              <w:pStyle w:val="Compact"/>
            </w:pPr>
            <w:r>
              <w:t xml:space="preserve">개인정보 보호법 제23조</w:t>
            </w:r>
          </w:p>
        </w:tc>
        <w:tc>
          <w:tcPr/>
          <w:p>
            <w:pPr>
              <w:pStyle w:val="Compact"/>
            </w:pPr>
            <w:r>
              <w:t xml:space="preserve">“민감정보… 처리하여서는 아니 된다.”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P-동의고지</w:t>
            </w:r>
          </w:p>
        </w:tc>
        <w:tc>
          <w:tcPr/>
          <w:p>
            <w:pPr>
              <w:pStyle w:val="Compact"/>
            </w:pPr>
            <w:r>
              <w:t xml:space="preserve">개인정보 보호법 제15조 제2항</w:t>
            </w:r>
          </w:p>
        </w:tc>
        <w:tc>
          <w:tcPr/>
          <w:p>
            <w:pPr>
              <w:pStyle w:val="Compact"/>
            </w:pPr>
            <w:r>
              <w:t xml:space="preserve">“수집·이용 목적… 항목… 보유기간… 동의거부…”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P-동의구분</w:t>
            </w:r>
          </w:p>
        </w:tc>
        <w:tc>
          <w:tcPr/>
          <w:p>
            <w:pPr>
              <w:pStyle w:val="Compact"/>
            </w:pPr>
            <w:r>
              <w:t xml:space="preserve">개인정보 보호법 제22조 제1항</w:t>
            </w:r>
          </w:p>
        </w:tc>
        <w:tc>
          <w:tcPr/>
          <w:p>
            <w:pPr>
              <w:pStyle w:val="Compact"/>
            </w:pPr>
            <w:r>
              <w:t xml:space="preserve">“동의 사항을 구분… 각각 동의를 받아야 한다.”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P-목적외금지</w:t>
            </w:r>
          </w:p>
        </w:tc>
        <w:tc>
          <w:tcPr/>
          <w:p>
            <w:pPr>
              <w:pStyle w:val="Compact"/>
            </w:pPr>
            <w:r>
              <w:t xml:space="preserve">개인정보 보호법 제18조 제1항</w:t>
            </w:r>
          </w:p>
        </w:tc>
        <w:tc>
          <w:tcPr/>
          <w:p>
            <w:pPr>
              <w:pStyle w:val="Compact"/>
            </w:pPr>
            <w:r>
              <w:t xml:space="preserve">“목적… 범위를 초과하여 이용… 제공… 아니 된다.”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P-제3자제공</w:t>
            </w:r>
          </w:p>
        </w:tc>
        <w:tc>
          <w:tcPr/>
          <w:p>
            <w:pPr>
              <w:pStyle w:val="Compact"/>
            </w:pPr>
            <w:r>
              <w:t xml:space="preserve">개인정보 보호법 제17조 제2항</w:t>
            </w:r>
          </w:p>
        </w:tc>
        <w:tc>
          <w:tcPr/>
          <w:p>
            <w:pPr>
              <w:pStyle w:val="Compact"/>
            </w:pPr>
            <w:r>
              <w:t xml:space="preserve">“제공받는 자… 이용 목적… 항목… 보유기간…”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P-위탁</w:t>
            </w:r>
          </w:p>
        </w:tc>
        <w:tc>
          <w:tcPr/>
          <w:p>
            <w:pPr>
              <w:pStyle w:val="Compact"/>
            </w:pPr>
            <w:r>
              <w:t xml:space="preserve">개인정보 보호법 제26조 제1항</w:t>
            </w:r>
          </w:p>
        </w:tc>
        <w:tc>
          <w:tcPr/>
          <w:p>
            <w:pPr>
              <w:pStyle w:val="Compact"/>
            </w:pPr>
            <w:r>
              <w:t xml:space="preserve">“업무를 위탁… 문서… 처리 제한… 안전조치…”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P-재위탁</w:t>
            </w:r>
          </w:p>
        </w:tc>
        <w:tc>
          <w:tcPr/>
          <w:p>
            <w:pPr>
              <w:pStyle w:val="Compact"/>
            </w:pPr>
            <w:r>
              <w:t xml:space="preserve">개인정보 보호법 제26조 제6항</w:t>
            </w:r>
          </w:p>
        </w:tc>
        <w:tc>
          <w:tcPr/>
          <w:p>
            <w:pPr>
              <w:pStyle w:val="Compact"/>
            </w:pPr>
            <w:r>
              <w:t xml:space="preserve">“재위탁… 위탁… 동의… 위탁한 것으로 본다.”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P-국외이전</w:t>
            </w:r>
          </w:p>
        </w:tc>
        <w:tc>
          <w:tcPr/>
          <w:p>
            <w:pPr>
              <w:pStyle w:val="Compact"/>
            </w:pPr>
            <w:r>
              <w:t xml:space="preserve">개인정보보호위원회 해설(법 제28조의8 인용)</w:t>
            </w:r>
          </w:p>
        </w:tc>
        <w:tc>
          <w:tcPr/>
          <w:p>
            <w:pPr>
              <w:pStyle w:val="Compact"/>
            </w:pPr>
            <w:r>
              <w:t xml:space="preserve">“국외로 제공(조회 포함)·처리위탁·보관… ‘국외 이전’…”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P-처리방침</w:t>
            </w:r>
          </w:p>
        </w:tc>
        <w:tc>
          <w:tcPr/>
          <w:p>
            <w:pPr>
              <w:pStyle w:val="Compact"/>
            </w:pPr>
            <w:r>
              <w:t xml:space="preserve">개인정보 보호법 제30조 제1항</w:t>
            </w:r>
          </w:p>
        </w:tc>
        <w:tc>
          <w:tcPr/>
          <w:p>
            <w:pPr>
              <w:pStyle w:val="Compact"/>
            </w:pPr>
            <w:r>
              <w:t xml:space="preserve">“개인정보 처리방침… 정하여야 한다.”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P-파기</w:t>
            </w:r>
          </w:p>
        </w:tc>
        <w:tc>
          <w:tcPr/>
          <w:p>
            <w:pPr>
              <w:pStyle w:val="Compact"/>
            </w:pPr>
            <w:r>
              <w:t xml:space="preserve">개인정보 보호법 제21조 제1항</w:t>
            </w:r>
          </w:p>
        </w:tc>
        <w:tc>
          <w:tcPr/>
          <w:p>
            <w:pPr>
              <w:pStyle w:val="Compact"/>
            </w:pPr>
            <w:r>
              <w:t xml:space="preserve">“불필요… 지체 없이… 파기하여야 한다.”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P-안전조치</w:t>
            </w:r>
          </w:p>
        </w:tc>
        <w:tc>
          <w:tcPr/>
          <w:p>
            <w:pPr>
              <w:pStyle w:val="Compact"/>
            </w:pPr>
            <w:r>
              <w:t xml:space="preserve">개인정보 보호법 제29조</w:t>
            </w:r>
          </w:p>
        </w:tc>
        <w:tc>
          <w:tcPr/>
          <w:p>
            <w:pPr>
              <w:pStyle w:val="Compact"/>
            </w:pPr>
            <w:r>
              <w:t xml:space="preserve">“안전성 확보… 기술적·관리적·물리적 조치.”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P-시행령안전</w:t>
            </w:r>
          </w:p>
        </w:tc>
        <w:tc>
          <w:tcPr/>
          <w:p>
            <w:pPr>
              <w:pStyle w:val="Compact"/>
            </w:pPr>
            <w:r>
              <w:t xml:space="preserve">개인정보 보호법 시행령 제30조</w:t>
            </w:r>
          </w:p>
        </w:tc>
        <w:tc>
          <w:tcPr/>
          <w:p>
            <w:pPr>
              <w:pStyle w:val="Compact"/>
            </w:pPr>
            <w:r>
              <w:t xml:space="preserve">“내부 관리계획… 접근권한 제한… 암호화… 접속기록…”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P-유출통지</w:t>
            </w:r>
          </w:p>
        </w:tc>
        <w:tc>
          <w:tcPr/>
          <w:p>
            <w:pPr>
              <w:pStyle w:val="Compact"/>
            </w:pPr>
            <w:r>
              <w:t xml:space="preserve">개인정보 보호법 제34조 제1항</w:t>
            </w:r>
          </w:p>
        </w:tc>
        <w:tc>
          <w:tcPr/>
          <w:p>
            <w:pPr>
              <w:pStyle w:val="Compact"/>
            </w:pPr>
            <w:r>
              <w:t xml:space="preserve">“유출등… 지체 없이… 항목… 경위… 대응조치…”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AI-표시</w:t>
            </w:r>
          </w:p>
        </w:tc>
        <w:tc>
          <w:tcPr/>
          <w:p>
            <w:pPr>
              <w:pStyle w:val="Compact"/>
            </w:pPr>
            <w:r>
              <w:t xml:space="preserve">AI 기본법 제31조(업계 게시 원문)</w:t>
            </w:r>
          </w:p>
        </w:tc>
        <w:tc>
          <w:tcPr/>
          <w:p>
            <w:pPr>
              <w:pStyle w:val="Compact"/>
            </w:pPr>
            <w:r>
              <w:t xml:space="preserve">“사전에 고지… 결과물… 생성되었다는 사실을 표시…”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M-무면허</w:t>
            </w:r>
          </w:p>
        </w:tc>
        <w:tc>
          <w:tcPr/>
          <w:p>
            <w:pPr>
              <w:pStyle w:val="Compact"/>
            </w:pPr>
            <w:r>
              <w:t xml:space="preserve">의료법 제27조 제1항</w:t>
            </w:r>
          </w:p>
        </w:tc>
        <w:tc>
          <w:tcPr/>
          <w:p>
            <w:pPr>
              <w:pStyle w:val="Compact"/>
            </w:pPr>
            <w:r>
              <w:t xml:space="preserve">“의료인이 아니면… 의료행위를 할 수 없으며…”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M-광고</w:t>
            </w:r>
          </w:p>
        </w:tc>
        <w:tc>
          <w:tcPr/>
          <w:p>
            <w:pPr>
              <w:pStyle w:val="Compact"/>
            </w:pPr>
            <w:r>
              <w:t xml:space="preserve">의료법 제56조 제1항</w:t>
            </w:r>
          </w:p>
        </w:tc>
        <w:tc>
          <w:tcPr/>
          <w:p>
            <w:pPr>
              <w:pStyle w:val="Compact"/>
            </w:pPr>
            <w:r>
              <w:t xml:space="preserve">“의료인등이 아닌 자는 의료에 관한 광고… 못한다.”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H-용어주의</w:t>
            </w:r>
          </w:p>
        </w:tc>
        <w:tc>
          <w:tcPr/>
          <w:p>
            <w:pPr>
              <w:pStyle w:val="Compact"/>
            </w:pPr>
            <w:r>
              <w:t xml:space="preserve">비의료 건강관리서비스 가이드라인(복지부)</w:t>
            </w:r>
          </w:p>
        </w:tc>
        <w:tc>
          <w:tcPr/>
          <w:p>
            <w:pPr>
              <w:pStyle w:val="Compact"/>
            </w:pPr>
            <w:r>
              <w:t xml:space="preserve">“문진, 치료… 치유… 용어… 다른 용어로 대체 필요”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Ad-표시광고</w:t>
            </w:r>
          </w:p>
        </w:tc>
        <w:tc>
          <w:tcPr/>
          <w:p>
            <w:pPr>
              <w:pStyle w:val="Compact"/>
            </w:pPr>
            <w:r>
              <w:t xml:space="preserve">표시·광고의 공정화에 관한 법률 제3조</w:t>
            </w:r>
          </w:p>
        </w:tc>
        <w:tc>
          <w:tcPr/>
          <w:p>
            <w:pPr>
              <w:pStyle w:val="Compact"/>
            </w:pPr>
            <w:r>
              <w:t xml:space="preserve">“거짓·과장… 기만적… 부당 비교… 비방…”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T-공정성</w:t>
            </w:r>
          </w:p>
        </w:tc>
        <w:tc>
          <w:tcPr/>
          <w:p>
            <w:pPr>
              <w:pStyle w:val="Compact"/>
            </w:pPr>
            <w:r>
              <w:t xml:space="preserve">약관법 제6조</w:t>
            </w:r>
          </w:p>
        </w:tc>
        <w:tc>
          <w:tcPr/>
          <w:p>
            <w:pPr>
              <w:pStyle w:val="Compact"/>
            </w:pPr>
            <w:r>
              <w:t xml:space="preserve">“신의성실… 공정성 잃은 약관 조항은 무효.”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T-면책금지</w:t>
            </w:r>
          </w:p>
        </w:tc>
        <w:tc>
          <w:tcPr/>
          <w:p>
            <w:pPr>
              <w:pStyle w:val="Compact"/>
            </w:pPr>
            <w:r>
              <w:t xml:space="preserve">약관법 제7조 제1호</w:t>
            </w:r>
          </w:p>
        </w:tc>
        <w:tc>
          <w:tcPr/>
          <w:p>
            <w:pPr>
              <w:pStyle w:val="Compact"/>
            </w:pPr>
            <w:r>
              <w:t xml:space="preserve">“고의 또는 중대한 과실… 책임을 배제… 무효.”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Net-광고동의</w:t>
            </w:r>
          </w:p>
        </w:tc>
        <w:tc>
          <w:tcPr/>
          <w:p>
            <w:pPr>
              <w:pStyle w:val="Compact"/>
            </w:pPr>
            <w:r>
              <w:t xml:space="preserve">정보통신망법 제50조 제1항</w:t>
            </w:r>
          </w:p>
        </w:tc>
        <w:tc>
          <w:tcPr/>
          <w:p>
            <w:pPr>
              <w:pStyle w:val="Compact"/>
            </w:pPr>
            <w:r>
              <w:t xml:space="preserve">“광고성 정보… 전송… 명시적 사전 동의…”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E-청약철회</w:t>
            </w:r>
          </w:p>
        </w:tc>
        <w:tc>
          <w:tcPr/>
          <w:p>
            <w:pPr>
              <w:pStyle w:val="Compact"/>
            </w:pPr>
            <w:r>
              <w:t xml:space="preserve">전자상거래법 제17조 제1항</w:t>
            </w:r>
          </w:p>
        </w:tc>
        <w:tc>
          <w:tcPr/>
          <w:p>
            <w:pPr>
              <w:pStyle w:val="Compact"/>
            </w:pPr>
            <w:r>
              <w:t xml:space="preserve">“서면 받은 날부터 7일… 청약철회…”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bookmarkEnd w:id="46"/>
    <w:bookmarkStart w:id="48" w:name="조치-목록"/>
    <w:p>
      <w:pPr>
        <w:pStyle w:val="Heading3"/>
      </w:pPr>
      <w:r>
        <w:t xml:space="preserve">조치 목록</w:t>
      </w:r>
    </w:p>
    <w:p>
      <w:pPr>
        <w:pStyle w:val="FirstParagraph"/>
      </w:pPr>
      <w:r>
        <w:t xml:space="preserve">아래 표는</w:t>
      </w:r>
      <w:r>
        <w:t xml:space="preserve"> </w:t>
      </w:r>
      <w:r>
        <w:rPr>
          <w:b/>
          <w:bCs/>
        </w:rPr>
        <w:t xml:space="preserve">개발·데이터·법무·운영</w:t>
      </w:r>
      <w:r>
        <w:t xml:space="preserve"> </w:t>
      </w:r>
      <w:r>
        <w:t xml:space="preserve">관점으로 구분하여,</w:t>
      </w:r>
      <w:r>
        <w:t xml:space="preserve"> </w:t>
      </w:r>
      <w:r>
        <w:rPr>
          <w:b/>
          <w:bCs/>
        </w:rPr>
        <w:t xml:space="preserve">필수/권장</w:t>
      </w:r>
      <w:r>
        <w:t xml:space="preserve">, 목적, 실행 단계, 예상 소요시간(추정), 우선순위, 법적 근거를 제시한다. “미지정”은 (a) 서비스 구조 미확정이거나 (b) 법령이 구체 기술방식을 직접 규정하지 않는 영역이다.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필수/권장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구체적 실행 단계(요약)</w:t>
            </w:r>
          </w:p>
        </w:tc>
        <w:tc>
          <w:tcPr/>
          <w:p>
            <w:pPr>
              <w:pStyle w:val="Compact"/>
            </w:pPr>
            <w:r>
              <w:t xml:space="preserve">예상 소요시간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법적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AI 라벨링(사전고지+생성물표시) UI 구현</w:t>
            </w:r>
          </w:p>
        </w:tc>
        <w:tc>
          <w:tcPr/>
          <w:p>
            <w:pPr>
              <w:pStyle w:val="Compact"/>
            </w:pPr>
            <w:r>
              <w:t xml:space="preserve">AI 기반 운용 사실과 생성 답변임을 이용자가 명확히 인지</w:t>
            </w:r>
          </w:p>
        </w:tc>
        <w:tc>
          <w:tcPr/>
          <w:p>
            <w:pPr>
              <w:pStyle w:val="Compact"/>
            </w:pPr>
            <w:r>
              <w:t xml:space="preserve">① 온보딩 첫 화면/약관 동의 직전 “AI 기반 운용” 고지 ② 채팅 헤더에 “AI 상담” 고정 배지 ③</w:t>
            </w:r>
            <w:r>
              <w:t xml:space="preserve"> </w:t>
            </w:r>
            <w:r>
              <w:rPr>
                <w:b/>
                <w:bCs/>
              </w:rPr>
              <w:t xml:space="preserve">각 답변 말풍선 하단</w:t>
            </w:r>
            <w:r>
              <w:t xml:space="preserve">에 “AI 생성” 토글형 표시(모바일 접근성 포함)</w:t>
            </w:r>
          </w:p>
        </w:tc>
        <w:tc>
          <w:tcPr/>
          <w:p>
            <w:pPr>
              <w:pStyle w:val="Compact"/>
            </w:pPr>
            <w:r>
              <w:t xml:space="preserve">3–7일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AI-표시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의료행위 오인 방지 프롬프트·답변 정책</w:t>
            </w:r>
          </w:p>
        </w:tc>
        <w:tc>
          <w:tcPr/>
          <w:p>
            <w:pPr>
              <w:pStyle w:val="Compact"/>
            </w:pPr>
            <w:r>
              <w:t xml:space="preserve">무면허 의료행위 위험 및 치료효과 오인 감소</w:t>
            </w:r>
          </w:p>
        </w:tc>
        <w:tc>
          <w:tcPr/>
          <w:p>
            <w:pPr>
              <w:pStyle w:val="Compact"/>
            </w:pPr>
            <w:r>
              <w:t xml:space="preserve">① 시스템 프롬프트에 “진단/치료/처방/약물지시 금지” ② “정신질환·성기능 장애” 질문 시</w:t>
            </w:r>
            <w:r>
              <w:t xml:space="preserve"> </w:t>
            </w:r>
            <w:r>
              <w:rPr>
                <w:b/>
                <w:bCs/>
              </w:rPr>
              <w:t xml:space="preserve">일반 정보+전문기관 안내</w:t>
            </w:r>
            <w:r>
              <w:t xml:space="preserve">로 제한 ③ 사용자 맥락 별 “할 수 있는 것/없는 것” 템플릿화</w:t>
            </w:r>
          </w:p>
        </w:tc>
        <w:tc>
          <w:tcPr/>
          <w:p>
            <w:pPr>
              <w:pStyle w:val="Compact"/>
            </w:pPr>
            <w:r>
              <w:t xml:space="preserve">1–2주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M-무면허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금지 용어 사전·UI 문구 통제</w:t>
            </w:r>
          </w:p>
        </w:tc>
        <w:tc>
          <w:tcPr/>
          <w:p>
            <w:pPr>
              <w:pStyle w:val="Compact"/>
            </w:pPr>
            <w:r>
              <w:t xml:space="preserve">용어 자체로 의료행위·치료 오인 유발 방지</w:t>
            </w:r>
          </w:p>
        </w:tc>
        <w:tc>
          <w:tcPr/>
          <w:p>
            <w:pPr>
              <w:pStyle w:val="Compact"/>
            </w:pPr>
            <w:r>
              <w:t xml:space="preserve">① 마케팅/앱 내 카피에서 “치료/문진/처방/치유/재활/발병·사망 위험도” 등 금칙어 룰 ② 대체표현 사전(예: “관계 대화 연습”, “갈등 완화 가이드”) ③ QA 단계에서 자동 스캔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H-용어주의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위기상황(자해·가정폭력) 감지 및 즉시 안내 플로우</w:t>
            </w:r>
          </w:p>
        </w:tc>
        <w:tc>
          <w:tcPr/>
          <w:p>
            <w:pPr>
              <w:pStyle w:val="Compact"/>
            </w:pPr>
            <w:r>
              <w:t xml:space="preserve">인명·안전 리스크 및 방치에 따른 분쟁 감소</w:t>
            </w:r>
          </w:p>
        </w:tc>
        <w:tc>
          <w:tcPr/>
          <w:p>
            <w:pPr>
              <w:pStyle w:val="Compact"/>
            </w:pPr>
            <w:r>
              <w:t xml:space="preserve">① 키워드+분류모델로 “자살/자해/살해/폭력 위협” 감지 ② 감지 시 모델 응답 차단→</w:t>
            </w:r>
            <w:r>
              <w:rPr>
                <w:b/>
                <w:bCs/>
              </w:rPr>
              <w:t xml:space="preserve">긴급 안내 카드</w:t>
            </w:r>
            <w:r>
              <w:t xml:space="preserve"> </w:t>
            </w:r>
            <w:r>
              <w:t xml:space="preserve">노출 ③ 원클릭 전화(109/112/1366/119) 및 지역 자원 안내</w:t>
            </w:r>
          </w:p>
        </w:tc>
        <w:tc>
          <w:tcPr/>
          <w:p>
            <w:pPr>
              <w:pStyle w:val="Compact"/>
            </w:pPr>
            <w:r>
              <w:t xml:space="preserve">1–2주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P-민감(해당 대화는 민감정보 가능)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민감정보 별도 동의(옵트인) + 분리 저장</w:t>
            </w:r>
          </w:p>
        </w:tc>
        <w:tc>
          <w:tcPr/>
          <w:p>
            <w:pPr>
              <w:pStyle w:val="Compact"/>
            </w:pPr>
            <w:r>
              <w:t xml:space="preserve">민감정보 처리 적법성·최소수집·통제</w:t>
            </w:r>
          </w:p>
        </w:tc>
        <w:tc>
          <w:tcPr/>
          <w:p>
            <w:pPr>
              <w:pStyle w:val="Compact"/>
            </w:pPr>
            <w:r>
              <w:t xml:space="preserve">① “민감정보 동의”를 일반 동의와 분리(체크박스 분리) ② 동의 거부해도 핵심 기능 제공(가능 범위) ③ 민감 카테고리(정신건강/성생활/폭력피해 등) 데이터는 별도 테이블·키로 분리</w:t>
            </w:r>
          </w:p>
        </w:tc>
        <w:tc>
          <w:tcPr/>
          <w:p>
            <w:pPr>
              <w:pStyle w:val="Compact"/>
            </w:pPr>
            <w:r>
              <w:t xml:space="preserve">2–3주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P-민감, P-동의구분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최소수집/목적 제한 데이터 맵 작성</w:t>
            </w:r>
          </w:p>
        </w:tc>
        <w:tc>
          <w:tcPr/>
          <w:p>
            <w:pPr>
              <w:pStyle w:val="Compact"/>
            </w:pPr>
            <w:r>
              <w:t xml:space="preserve">불필요 수집·목적외 이용 방지</w:t>
            </w:r>
          </w:p>
        </w:tc>
        <w:tc>
          <w:tcPr/>
          <w:p>
            <w:pPr>
              <w:pStyle w:val="Compact"/>
            </w:pPr>
            <w:r>
              <w:t xml:space="preserve">① 데이터 항목별 “목적-근거-보유기간-접근권한” 매핑 ② 배우자/제3자 정보 입력 최소화(UI 가이드) ③ 로그/분석 이벤트에서 대화 원문 수집 금지(기본값)</w:t>
            </w:r>
          </w:p>
        </w:tc>
        <w:tc>
          <w:tcPr/>
          <w:p>
            <w:pPr>
              <w:pStyle w:val="Compact"/>
            </w:pPr>
            <w:r>
              <w:t xml:space="preserve">1–2주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P-목적외금지, P-동의고지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보유기간/파기(대화·로그·백업) 체계</w:t>
            </w:r>
          </w:p>
        </w:tc>
        <w:tc>
          <w:tcPr/>
          <w:p>
            <w:pPr>
              <w:pStyle w:val="Compact"/>
            </w:pPr>
            <w:r>
              <w:t xml:space="preserve">과다 보관 및 삭제 미이행 리스크 감소</w:t>
            </w:r>
          </w:p>
        </w:tc>
        <w:tc>
          <w:tcPr/>
          <w:p>
            <w:pPr>
              <w:pStyle w:val="Compact"/>
            </w:pPr>
            <w:r>
              <w:t xml:space="preserve">① “대화 원문 기본 30–90일” 등 정책(사업모델 따라 조정, 미지정 가능) ② DB TTL/배치 삭제 ③ 백업에서도 삭제가 반영되도록 “백업 보존주기” 정의</w:t>
            </w:r>
          </w:p>
        </w:tc>
        <w:tc>
          <w:tcPr/>
          <w:p>
            <w:pPr>
              <w:pStyle w:val="Compact"/>
            </w:pPr>
            <w:r>
              <w:t xml:space="preserve">2–4주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P-파기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접근통제·권한분리·비인가 접근 차단</w:t>
            </w:r>
          </w:p>
        </w:tc>
        <w:tc>
          <w:tcPr/>
          <w:p>
            <w:pPr>
              <w:pStyle w:val="Compact"/>
            </w:pPr>
            <w:r>
              <w:t xml:space="preserve">내부자 오남용 및 침해사고 위험 감소</w:t>
            </w:r>
          </w:p>
        </w:tc>
        <w:tc>
          <w:tcPr/>
          <w:p>
            <w:pPr>
              <w:pStyle w:val="Compact"/>
            </w:pPr>
            <w:r>
              <w:t xml:space="preserve">① RBAC(상담 로그 열람은 최소 인력) ② 운영계정 MFA ③ 운영툴에서 대화 원문 기본 마스킹(필요 시 승인형 열람)</w:t>
            </w:r>
          </w:p>
        </w:tc>
        <w:tc>
          <w:tcPr/>
          <w:p>
            <w:pPr>
              <w:pStyle w:val="Compact"/>
            </w:pPr>
            <w:r>
              <w:t xml:space="preserve">2–4주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P-안전조치, P-시행령안전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전송·저장 암호화 및 키관리</w:t>
            </w:r>
          </w:p>
        </w:tc>
        <w:tc>
          <w:tcPr/>
          <w:p>
            <w:pPr>
              <w:pStyle w:val="Compact"/>
            </w:pPr>
            <w:r>
              <w:t xml:space="preserve">민감 대화 유출 시 피해 최소화</w:t>
            </w:r>
          </w:p>
        </w:tc>
        <w:tc>
          <w:tcPr/>
          <w:p>
            <w:pPr>
              <w:pStyle w:val="Compact"/>
            </w:pPr>
            <w:r>
              <w:t xml:space="preserve">① 전송구간 TLS ② 저장구간 디스크/DB 암호화 +</w:t>
            </w:r>
            <w:r>
              <w:t xml:space="preserve"> </w:t>
            </w:r>
            <w:r>
              <w:rPr>
                <w:b/>
                <w:bCs/>
              </w:rPr>
              <w:t xml:space="preserve">필드 단위 암호화(대화 원문)</w:t>
            </w:r>
            <w:r>
              <w:t xml:space="preserve"> </w:t>
            </w:r>
            <w:r>
              <w:t xml:space="preserve">③ KMS 기반 키 분리·회전(구체 알고리즘은 권고: AES-256, 미지정)</w:t>
            </w:r>
          </w:p>
        </w:tc>
        <w:tc>
          <w:tcPr/>
          <w:p>
            <w:pPr>
              <w:pStyle w:val="Compact"/>
            </w:pPr>
            <w:r>
              <w:t xml:space="preserve">2–6주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P-안전조치, P-시행령안전(암호화 포함)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법무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개인정보 처리방침/동의서(민감·제3자·위탁·국외이전 포함) 정합화</w:t>
            </w:r>
          </w:p>
        </w:tc>
        <w:tc>
          <w:tcPr/>
          <w:p>
            <w:pPr>
              <w:pStyle w:val="Compact"/>
            </w:pPr>
            <w:r>
              <w:t xml:space="preserve">법정 고지/동의 요건 충족</w:t>
            </w:r>
          </w:p>
        </w:tc>
        <w:tc>
          <w:tcPr/>
          <w:p>
            <w:pPr>
              <w:pStyle w:val="Compact"/>
            </w:pPr>
            <w:r>
              <w:t xml:space="preserve">① 처리방침에 목적·항목·보유기간·제3자·위탁·권리행사 기재 ② 국외이전 발생 시 이전 근거/항목/국가/수신자/거부효과 고지 ③ 버전관리(변경이력)</w:t>
            </w:r>
          </w:p>
        </w:tc>
        <w:tc>
          <w:tcPr/>
          <w:p>
            <w:pPr>
              <w:pStyle w:val="Compact"/>
            </w:pPr>
            <w:r>
              <w:t xml:space="preserve">1–3주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P-처리방침, P-제3자제공, P-위탁, P-국외이전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법무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위탁·재위탁 계약(DPA) 체결</w:t>
            </w:r>
          </w:p>
        </w:tc>
        <w:tc>
          <w:tcPr/>
          <w:p>
            <w:pPr>
              <w:pStyle w:val="Compact"/>
            </w:pPr>
            <w:r>
              <w:t xml:space="preserve">외부 LLM/클라우드 사용 시 책임·통제 확보</w:t>
            </w:r>
          </w:p>
        </w:tc>
        <w:tc>
          <w:tcPr/>
          <w:p>
            <w:pPr>
              <w:pStyle w:val="Compact"/>
            </w:pPr>
            <w:r>
              <w:t xml:space="preserve">① 위탁범위/목적 제한 ② 재위탁 사전승인 ③ 안전조치·감사권 ④ 사고 통지 SLA ⑤ 학습용 사용 금지(모델 트레이닝 금지)</w:t>
            </w:r>
          </w:p>
        </w:tc>
        <w:tc>
          <w:tcPr/>
          <w:p>
            <w:pPr>
              <w:pStyle w:val="Compact"/>
            </w:pPr>
            <w:r>
              <w:t xml:space="preserve">2–4주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P-위탁, P-재위탁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법무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의료행위 해당성 사전 유권해석 신청</w:t>
            </w:r>
          </w:p>
        </w:tc>
        <w:tc>
          <w:tcPr/>
          <w:p>
            <w:pPr>
              <w:pStyle w:val="Compact"/>
            </w:pPr>
            <w:r>
              <w:t xml:space="preserve">의료행위 논란 사전 차단</w:t>
            </w:r>
          </w:p>
        </w:tc>
        <w:tc>
          <w:tcPr/>
          <w:p>
            <w:pPr>
              <w:pStyle w:val="Compact"/>
            </w:pPr>
            <w:r>
              <w:t xml:space="preserve">① 서비스 화면/카피/플로우 제출 ② “진단·처방 없음” 명확화 ③ 변경 시 재검토. (처리기간은 기관 안내 기준, 구체 소요는 미지정)</w:t>
            </w:r>
          </w:p>
        </w:tc>
        <w:tc>
          <w:tcPr/>
          <w:p>
            <w:pPr>
              <w:pStyle w:val="Compact"/>
            </w:pPr>
            <w:r>
              <w:t xml:space="preserve">4–6주(미지정 가능)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복지부 유권해석 절차 안내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법무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광고·표시 문구 컴플라이언스 리뷰</w:t>
            </w:r>
          </w:p>
        </w:tc>
        <w:tc>
          <w:tcPr/>
          <w:p>
            <w:pPr>
              <w:pStyle w:val="Compact"/>
            </w:pPr>
            <w:r>
              <w:t xml:space="preserve">치료효과·과장광고·의료광고 위반 리스크 감소</w:t>
            </w:r>
          </w:p>
        </w:tc>
        <w:tc>
          <w:tcPr/>
          <w:p>
            <w:pPr>
              <w:pStyle w:val="Compact"/>
            </w:pPr>
            <w:r>
              <w:t xml:space="preserve">① 랜딩/스토어/배너/리뷰유도 문구 점검 ② “치료·완치·진단” 금지 ③ 성과·통계 기반 주장 시 근거자료 보관</w:t>
            </w:r>
          </w:p>
        </w:tc>
        <w:tc>
          <w:tcPr/>
          <w:p>
            <w:pPr>
              <w:pStyle w:val="Compact"/>
            </w:pPr>
            <w:r>
              <w:t xml:space="preserve">1–2주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M-광고, Ad-표시광고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법무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이용약관 면책/책임 조항 정비</w:t>
            </w:r>
          </w:p>
        </w:tc>
        <w:tc>
          <w:tcPr/>
          <w:p>
            <w:pPr>
              <w:pStyle w:val="Compact"/>
            </w:pPr>
            <w:r>
              <w:t xml:space="preserve">불공정 약관 무효 및 분쟁 확대 방지</w:t>
            </w:r>
          </w:p>
        </w:tc>
        <w:tc>
          <w:tcPr/>
          <w:p>
            <w:pPr>
              <w:pStyle w:val="Compact"/>
            </w:pPr>
            <w:r>
              <w:t xml:space="preserve">① “고의·중과실 면책” 제거 ② 책임 제한은 “합리적·예측 가능” 범위 ③ 환불/해지/분쟁절차 명확화</w:t>
            </w:r>
          </w:p>
        </w:tc>
        <w:tc>
          <w:tcPr/>
          <w:p>
            <w:pPr>
              <w:pStyle w:val="Compact"/>
            </w:pPr>
            <w:r>
              <w:t xml:space="preserve">1–2주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T-공정성, T-면책금지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침해사고 대응(유출 통지·신고) 프로토콜</w:t>
            </w:r>
          </w:p>
        </w:tc>
        <w:tc>
          <w:tcPr/>
          <w:p>
            <w:pPr>
              <w:pStyle w:val="Compact"/>
            </w:pPr>
            <w:r>
              <w:t xml:space="preserve">유출 시 법정 통지 및 2차 피해 최소화</w:t>
            </w:r>
          </w:p>
        </w:tc>
        <w:tc>
          <w:tcPr/>
          <w:p>
            <w:pPr>
              <w:pStyle w:val="Compact"/>
            </w:pPr>
            <w:r>
              <w:t xml:space="preserve">① 사고등급·대응 R&amp;R ② 조사로그 보전 ③ 통지 템플릿(항목/경위/대응/연락처) ④ 모의훈련</w:t>
            </w:r>
          </w:p>
        </w:tc>
        <w:tc>
          <w:tcPr/>
          <w:p>
            <w:pPr>
              <w:pStyle w:val="Compact"/>
            </w:pPr>
            <w:r>
              <w:t xml:space="preserve">2–4주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P-유출통지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마케팅 수신동의·2년 재확인 운영</w:t>
            </w:r>
          </w:p>
        </w:tc>
        <w:tc>
          <w:tcPr/>
          <w:p>
            <w:pPr>
              <w:pStyle w:val="Compact"/>
            </w:pPr>
            <w:r>
              <w:t xml:space="preserve">불법 스팸·과태료 리스크 감소</w:t>
            </w:r>
          </w:p>
        </w:tc>
        <w:tc>
          <w:tcPr/>
          <w:p>
            <w:pPr>
              <w:pStyle w:val="Compact"/>
            </w:pPr>
            <w:r>
              <w:t xml:space="preserve">① 광고성 정보 별도 옵트인 ② 동의일자 저장 ③ 2년마다 수신동의 확인 메시지 자동 발송(해지 경로 포함)</w:t>
            </w:r>
          </w:p>
        </w:tc>
        <w:tc>
          <w:tcPr/>
          <w:p>
            <w:pPr>
              <w:pStyle w:val="Compact"/>
            </w:pPr>
            <w:r>
              <w:t xml:space="preserve">1–2주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Net-광고동의, 2년 확인 의무 안내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청약철회/환불 정책 및 고객지원 체계</w:t>
            </w:r>
          </w:p>
        </w:tc>
        <w:tc>
          <w:tcPr/>
          <w:p>
            <w:pPr>
              <w:pStyle w:val="Compact"/>
            </w:pPr>
            <w:r>
              <w:t xml:space="preserve">유료 구독 분쟁 감소</w:t>
            </w:r>
          </w:p>
        </w:tc>
        <w:tc>
          <w:tcPr/>
          <w:p>
            <w:pPr>
              <w:pStyle w:val="Compact"/>
            </w:pPr>
            <w:r>
              <w:t xml:space="preserve">① 구매 전 핵심정보(가격/기간/해지/환불) 고지 ② 디지털 콘텐츠 예외 적용 여부 검토(미지정) ③ CS SLA 및 기록</w:t>
            </w:r>
          </w:p>
        </w:tc>
        <w:tc>
          <w:tcPr/>
          <w:p>
            <w:pPr>
              <w:pStyle w:val="Compact"/>
            </w:pPr>
            <w:r>
              <w:t xml:space="preserve">2–3주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E-청약철회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개인정보 보호책임자(CPO) 중심 거버넌스/교육</w:t>
            </w:r>
          </w:p>
        </w:tc>
        <w:tc>
          <w:tcPr/>
          <w:p>
            <w:pPr>
              <w:pStyle w:val="Compact"/>
            </w:pPr>
            <w:r>
              <w:t xml:space="preserve">상시 준수 및 내부 통제</w:t>
            </w:r>
          </w:p>
        </w:tc>
        <w:tc>
          <w:tcPr/>
          <w:p>
            <w:pPr>
              <w:pStyle w:val="Compact"/>
            </w:pPr>
            <w:r>
              <w:t xml:space="preserve">① 개인정보 취급자 교육 ② 접근 권한 정기 점검 ③ 변경관리(모델/로그/정책) 회의체</w:t>
            </w:r>
          </w:p>
        </w:tc>
        <w:tc>
          <w:tcPr/>
          <w:p>
            <w:pPr>
              <w:pStyle w:val="Compact"/>
            </w:pPr>
            <w:r>
              <w:t xml:space="preserve">2–4주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시행령 안전조치(내부관리계획·교육)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[42]</w:t>
              </w:r>
            </w:hyperlink>
          </w:p>
        </w:tc>
      </w:tr>
    </w:tbl>
    <w:bookmarkEnd w:id="48"/>
    <w:bookmarkStart w:id="50" w:name="조치별-리스크효과-분석-요약"/>
    <w:p>
      <w:pPr>
        <w:pStyle w:val="Heading3"/>
      </w:pPr>
      <w:r>
        <w:t xml:space="preserve">조치별 리스크·효과 분석 요약</w:t>
      </w:r>
    </w:p>
    <w:p>
      <w:pPr>
        <w:pStyle w:val="FirstParagraph"/>
      </w:pPr>
      <w:r>
        <w:t xml:space="preserve">아래는 상기 “높음/중” 조치 중, 분쟁·제재로 이어질 가능성이 큰 항목에 대한</w:t>
      </w:r>
      <w:r>
        <w:t xml:space="preserve"> </w:t>
      </w:r>
      <w:r>
        <w:rPr>
          <w:b/>
          <w:bCs/>
        </w:rPr>
        <w:t xml:space="preserve">법적·운영적·비용적</w:t>
      </w:r>
      <w:r>
        <w:t xml:space="preserve"> </w:t>
      </w:r>
      <w:r>
        <w:t xml:space="preserve">영향 요약이다(비용은 조직/인프라에 따라 변동 → 정량은 미지정).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조치 묶음</w:t>
            </w:r>
          </w:p>
        </w:tc>
        <w:tc>
          <w:tcPr/>
          <w:p>
            <w:pPr>
              <w:pStyle w:val="Compact"/>
            </w:pPr>
            <w:r>
              <w:t xml:space="preserve">법적 리스크 저감</w:t>
            </w:r>
          </w:p>
        </w:tc>
        <w:tc>
          <w:tcPr/>
          <w:p>
            <w:pPr>
              <w:pStyle w:val="Compact"/>
            </w:pPr>
            <w:r>
              <w:t xml:space="preserve">운영 리스크/효과</w:t>
            </w:r>
          </w:p>
        </w:tc>
        <w:tc>
          <w:tcPr/>
          <w:p>
            <w:pPr>
              <w:pStyle w:val="Compact"/>
            </w:pPr>
            <w:r>
              <w:t xml:space="preserve">비용/난이도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 별도 동의·분리 저장</w:t>
            </w:r>
          </w:p>
        </w:tc>
        <w:tc>
          <w:tcPr/>
          <w:p>
            <w:pPr>
              <w:pStyle w:val="Compact"/>
            </w:pPr>
            <w:r>
              <w:t xml:space="preserve">민감정보 무단 처리·동의 흠결 리스크를 구조적으로 축소.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동의 플로우가 길어져 전환율 저하 가능(UX 비용)</w:t>
            </w:r>
          </w:p>
        </w:tc>
        <w:tc>
          <w:tcPr/>
          <w:p>
            <w:pPr>
              <w:pStyle w:val="Compact"/>
            </w:pPr>
            <w:r>
              <w:t xml:space="preserve">중(2–3주)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라벨링(사전고지+표시)</w:t>
            </w:r>
          </w:p>
        </w:tc>
        <w:tc>
          <w:tcPr/>
          <w:p>
            <w:pPr>
              <w:pStyle w:val="Compact"/>
            </w:pPr>
            <w:r>
              <w:t xml:space="preserve">AI 투명성 의무 불이행 및 “사람 상담으로 오인”에 따른 소비자 분쟁 위험 감소.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UI 혼잡 증가 가능 → 툴팁/접기 UI 필요</w:t>
            </w:r>
          </w:p>
        </w:tc>
        <w:tc>
          <w:tcPr/>
          <w:p>
            <w:pPr>
              <w:pStyle w:val="Compact"/>
            </w:pPr>
            <w:r>
              <w:t xml:space="preserve">하~중(1주 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의료행위 오인 방지(프롬프트·카피·금칙어)</w:t>
            </w:r>
          </w:p>
        </w:tc>
        <w:tc>
          <w:tcPr/>
          <w:p>
            <w:pPr>
              <w:pStyle w:val="Compact"/>
            </w:pPr>
            <w:r>
              <w:t xml:space="preserve">무면허 의료행위 주장 및 치료효과 표방으로 인한 민형사/행정 리스크 축소. 의료행위 판단기준이 “보건위생상 위해 우려”로 넓게 해석되는 경향을 고려할 때 중요.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답변 제약으로 만족도 저하 가능 → 범위 내 “관계 기술”에 집중 필요</w:t>
            </w:r>
          </w:p>
        </w:tc>
        <w:tc>
          <w:tcPr/>
          <w:p>
            <w:pPr>
              <w:pStyle w:val="Compact"/>
            </w:pPr>
            <w:r>
              <w:t xml:space="preserve">중(1–2주, 지속)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위탁·국외이전 통제(DPA·고지)</w:t>
            </w:r>
          </w:p>
        </w:tc>
        <w:tc>
          <w:tcPr/>
          <w:p>
            <w:pPr>
              <w:pStyle w:val="Compact"/>
            </w:pPr>
            <w:r>
              <w:t xml:space="preserve">LLM/클라우드 사용 시 위탁·재위탁·국외이전 흠결(동의/고지/계약) 리스크 감소.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벤더 변경 비용 상승(계약·법무 리드타임)</w:t>
            </w:r>
          </w:p>
        </w:tc>
        <w:tc>
          <w:tcPr/>
          <w:p>
            <w:pPr>
              <w:pStyle w:val="Compact"/>
            </w:pPr>
            <w:r>
              <w:t xml:space="preserve">중~상(2–4주)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안전조치(암호화·접근통제·로그)</w:t>
            </w:r>
          </w:p>
        </w:tc>
        <w:tc>
          <w:tcPr/>
          <w:p>
            <w:pPr>
              <w:pStyle w:val="Compact"/>
            </w:pPr>
            <w:r>
              <w:t xml:space="preserve">유출 시 과징금/손해배상 및 신뢰 하락 위험 완화. 법은 “안전성 확보 조치”를 의무화.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운영 복잡도 증가(권한·키·로그 관리)</w:t>
            </w:r>
          </w:p>
        </w:tc>
        <w:tc>
          <w:tcPr/>
          <w:p>
            <w:pPr>
              <w:pStyle w:val="Compact"/>
            </w:pPr>
            <w:r>
              <w:t xml:space="preserve">상(4–8주)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위기대응 프로토콜</w:t>
            </w:r>
          </w:p>
        </w:tc>
        <w:tc>
          <w:tcPr/>
          <w:p>
            <w:pPr>
              <w:pStyle w:val="Compact"/>
            </w:pPr>
            <w:r>
              <w:t xml:space="preserve">인명사고·폭력 방치에 대한 사회적·법적 리스크(민원/언론/분쟁) 완화. 정신건강·폭력 지원 체계와의 연계 필요.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오탐·과탐 균형 필요(과도 차단은 이탈 유발)</w:t>
            </w:r>
          </w:p>
        </w:tc>
        <w:tc>
          <w:tcPr/>
          <w:p>
            <w:pPr>
              <w:pStyle w:val="Compact"/>
            </w:pPr>
            <w:r>
              <w:t xml:space="preserve">중(1–2주, 지속 튜닝)</w:t>
            </w:r>
          </w:p>
        </w:tc>
      </w:tr>
    </w:tbl>
    <w:bookmarkEnd w:id="50"/>
    <w:bookmarkEnd w:id="51"/>
    <w:bookmarkStart w:id="56" w:name="샘플-문구약관고지광고-가이드"/>
    <w:p>
      <w:pPr>
        <w:pStyle w:val="Heading2"/>
      </w:pPr>
      <w:r>
        <w:t xml:space="preserve">샘플 문구·약관·고지·광고 가이드</w:t>
      </w:r>
    </w:p>
    <w:p>
      <w:pPr>
        <w:pStyle w:val="FirstParagraph"/>
      </w:pPr>
      <w:r>
        <w:t xml:space="preserve">본 절의 문구는 “예시(샘플)”이며, 서비스 기능·데이터 흐름이 확정되면 항목/수신자/보유기간 등은 실제 값으로 치환해야 한다(미지정은 그대로 표기).</w:t>
      </w:r>
    </w:p>
    <w:bookmarkStart w:id="52" w:name="온보딩서비스-화면-고지-문구"/>
    <w:p>
      <w:pPr>
        <w:pStyle w:val="Heading3"/>
      </w:pPr>
      <w:r>
        <w:t xml:space="preserve">온보딩·서비스 화면 고지 문구</w:t>
      </w:r>
    </w:p>
    <w:p>
      <w:pPr>
        <w:pStyle w:val="FirstParagraph"/>
      </w:pPr>
      <w:r>
        <w:rPr>
          <w:b/>
          <w:bCs/>
        </w:rPr>
        <w:t xml:space="preserve">A. AI 기반 운용 사전 고지(온보딩 첫 화면/가입 직전)</w:t>
      </w:r>
      <w:r>
        <w:br/>
      </w:r>
      <w:r>
        <w:t xml:space="preserve">- 표시 위치:</w:t>
      </w:r>
      <w:r>
        <w:t xml:space="preserve"> </w:t>
      </w:r>
      <w:r>
        <w:rPr>
          <w:i/>
          <w:iCs/>
        </w:rPr>
        <w:t xml:space="preserve">온보딩 1페이지 하단 + 약관 동의 직전 모달</w:t>
      </w:r>
      <w:r>
        <w:br/>
      </w:r>
      <w:r>
        <w:t xml:space="preserve">- 문구(예시):</w:t>
      </w:r>
    </w:p>
    <w:p>
      <w:pPr>
        <w:pStyle w:val="BlockText"/>
      </w:pPr>
      <w:r>
        <w:t xml:space="preserve">본 서비스는</w:t>
      </w:r>
      <w:r>
        <w:t xml:space="preserve"> </w:t>
      </w:r>
      <w:r>
        <w:rPr>
          <w:b/>
          <w:bCs/>
        </w:rPr>
        <w:t xml:space="preserve">인공지능(AI)</w:t>
      </w:r>
      <w:r>
        <w:t xml:space="preserve">을 활용하여 관계 대화와 갈등 완화를 위한 정보를 제공합니다. 사용 중 제공되는 답변은</w:t>
      </w:r>
      <w:r>
        <w:t xml:space="preserve"> </w:t>
      </w:r>
      <w:r>
        <w:rPr>
          <w:b/>
          <w:bCs/>
        </w:rPr>
        <w:t xml:space="preserve">AI가 생성</w:t>
      </w:r>
      <w:r>
        <w:t xml:space="preserve">할 수 있습니다.</w:t>
      </w:r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</w:p>
    <w:p>
      <w:pPr>
        <w:pStyle w:val="FirstParagraph"/>
      </w:pPr>
      <w:r>
        <w:rPr>
          <w:b/>
          <w:bCs/>
        </w:rPr>
        <w:t xml:space="preserve">B. 의료행위 아님 고지(대화 시작 화면/FAQ/상단 고정)</w:t>
      </w:r>
      <w:r>
        <w:br/>
      </w:r>
      <w:r>
        <w:t xml:space="preserve">- 표시 위치:</w:t>
      </w:r>
      <w:r>
        <w:t xml:space="preserve"> </w:t>
      </w:r>
      <w:r>
        <w:rPr>
          <w:i/>
          <w:iCs/>
        </w:rPr>
        <w:t xml:space="preserve">채팅방 헤더(“i” 아이콘), FAQ 첫 문단, 결제/구독 화면</w:t>
      </w:r>
      <w:r>
        <w:br/>
      </w:r>
      <w:r>
        <w:t xml:space="preserve">- 문구(예시):</w:t>
      </w:r>
    </w:p>
    <w:p>
      <w:pPr>
        <w:pStyle w:val="BlockText"/>
      </w:pPr>
      <w:r>
        <w:t xml:space="preserve">본 서비스는</w:t>
      </w:r>
      <w:r>
        <w:t xml:space="preserve"> </w:t>
      </w:r>
      <w:r>
        <w:rPr>
          <w:b/>
          <w:bCs/>
        </w:rPr>
        <w:t xml:space="preserve">의료기관의 진료·처방·치료를 제공하지 않습니다.</w:t>
      </w:r>
      <w:r>
        <w:t xml:space="preserve"> </w:t>
      </w:r>
      <w:r>
        <w:t xml:space="preserve">정신건강 질환의 진단, 치료 또는 약물 복용 지시는 하지 않습니다. 의료적 도움이 필요하면 의료기관 또는 전문기관에 상담하시기 바랍니다.</w:t>
      </w:r>
      <w:r>
        <w:t xml:space="preserve"> </w:t>
      </w:r>
      <w:hyperlink r:id="rId39">
        <w:r>
          <w:rPr>
            <w:rStyle w:val="Hyperlink"/>
          </w:rPr>
          <w:t xml:space="preserve">[43]</w:t>
        </w:r>
      </w:hyperlink>
    </w:p>
    <w:p>
      <w:pPr>
        <w:pStyle w:val="FirstParagraph"/>
      </w:pPr>
      <w:r>
        <w:rPr>
          <w:b/>
          <w:bCs/>
        </w:rPr>
        <w:t xml:space="preserve">C. ‘금지 표현’ 내부 가이드(마케팅/스토어/배너에 사용 금지 예시)</w:t>
      </w:r>
      <w:r>
        <w:br/>
      </w:r>
      <w:r>
        <w:t xml:space="preserve">- “부부갈등</w:t>
      </w:r>
      <w:r>
        <w:t xml:space="preserve"> </w:t>
      </w:r>
      <w:r>
        <w:rPr>
          <w:b/>
          <w:bCs/>
        </w:rPr>
        <w:t xml:space="preserve">치료/완치</w:t>
      </w:r>
      <w:r>
        <w:t xml:space="preserve">”, “우울·불안</w:t>
      </w:r>
      <w:r>
        <w:t xml:space="preserve"> </w:t>
      </w:r>
      <w:r>
        <w:rPr>
          <w:b/>
          <w:bCs/>
        </w:rPr>
        <w:t xml:space="preserve">치료</w:t>
      </w:r>
      <w:r>
        <w:t xml:space="preserve">”, “성기능장애</w:t>
      </w:r>
      <w:r>
        <w:t xml:space="preserve"> </w:t>
      </w:r>
      <w:r>
        <w:rPr>
          <w:b/>
          <w:bCs/>
        </w:rPr>
        <w:t xml:space="preserve">개선 보장</w:t>
      </w:r>
      <w:r>
        <w:t xml:space="preserve">”, “진단/문진”, “처방”, “재활/치유”, “발병위험도/사망위험도 산정”</w:t>
      </w:r>
      <w:r>
        <w:br/>
      </w:r>
      <w:r>
        <w:t xml:space="preserve">- 근거: 의료행위 오인 가능 용어 대체 필요 및 과장광고 금지.</w:t>
      </w:r>
      <w:r>
        <w:t xml:space="preserve"> </w:t>
      </w:r>
      <w:hyperlink r:id="rId41">
        <w:r>
          <w:rPr>
            <w:rStyle w:val="Hyperlink"/>
          </w:rPr>
          <w:t xml:space="preserve">[46]</w:t>
        </w:r>
      </w:hyperlink>
    </w:p>
    <w:bookmarkEnd w:id="52"/>
    <w:bookmarkStart w:id="53" w:name="개인정보민감정보-동의-문구-예시"/>
    <w:p>
      <w:pPr>
        <w:pStyle w:val="Heading3"/>
      </w:pPr>
      <w:r>
        <w:t xml:space="preserve">개인정보·민감정보 동의 문구 예시</w:t>
      </w:r>
    </w:p>
    <w:p>
      <w:pPr>
        <w:pStyle w:val="FirstParagraph"/>
      </w:pPr>
      <w:r>
        <w:rPr>
          <w:b/>
          <w:bCs/>
        </w:rPr>
        <w:t xml:space="preserve">A. 기본 개인정보 수집·이용 동의(체크박스 1)</w:t>
      </w:r>
      <w:r>
        <w:br/>
      </w:r>
      <w:r>
        <w:t xml:space="preserve">- 표시 위치:</w:t>
      </w:r>
      <w:r>
        <w:t xml:space="preserve"> </w:t>
      </w:r>
      <w:r>
        <w:rPr>
          <w:i/>
          <w:iCs/>
        </w:rPr>
        <w:t xml:space="preserve">회원가입(필수 동의)</w:t>
      </w:r>
      <w:r>
        <w:br/>
      </w:r>
      <w:r>
        <w:t xml:space="preserve">- 문구 구성(예시, 실제 항목은 서비스 확정 후 반영):</w:t>
      </w:r>
      <w:r>
        <w:br/>
      </w:r>
      <w:r>
        <w:t xml:space="preserve">- 수집·이용 목적: 회원관리, 서비스 제공, 고객응대</w:t>
      </w:r>
      <w:r>
        <w:br/>
      </w:r>
      <w:r>
        <w:t xml:space="preserve">- 항목: 이메일/휴대폰(또는 소셜로그인 식별자), 닉네임</w:t>
      </w:r>
      <w:r>
        <w:br/>
      </w:r>
      <w:r>
        <w:t xml:space="preserve">- 보유기간: 회원 탈퇴 시까지(관계법령 보존 항목은 별도 고지)</w:t>
      </w:r>
      <w:r>
        <w:br/>
      </w:r>
      <w:r>
        <w:t xml:space="preserve">- 동의 거부: 동의 거부 시 가입/서비스 제공 제한</w:t>
      </w:r>
      <w:r>
        <w:br/>
      </w:r>
      <w:r>
        <w:t xml:space="preserve">- 법정 고지 요소를 포함해야 한다.</w:t>
      </w:r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B. 민감정보 처리 동의(체크박스 2, 선택 동의 권장 구조)</w:t>
      </w:r>
      <w:r>
        <w:br/>
      </w:r>
      <w:r>
        <w:t xml:space="preserve">- 표시 위치:</w:t>
      </w:r>
      <w:r>
        <w:t xml:space="preserve"> </w:t>
      </w:r>
      <w:r>
        <w:rPr>
          <w:i/>
          <w:iCs/>
        </w:rPr>
        <w:t xml:space="preserve">대화 시작 전(또는 첫 민감 주제 진입 시) 별도 동의 모달</w:t>
      </w:r>
      <w:r>
        <w:br/>
      </w:r>
      <w:r>
        <w:t xml:space="preserve">- 문구(예시):</w:t>
      </w:r>
    </w:p>
    <w:p>
      <w:pPr>
        <w:pStyle w:val="BlockText"/>
      </w:pPr>
      <w:r>
        <w:t xml:space="preserve">(선택) 민감정보 처리 동의: 본 서비스는 상담 대화 중 정신건강, 성생활, 폭력 피해 등</w:t>
      </w:r>
      <w:r>
        <w:t xml:space="preserve"> </w:t>
      </w:r>
      <w:r>
        <w:rPr>
          <w:b/>
          <w:bCs/>
        </w:rPr>
        <w:t xml:space="preserve">민감정보</w:t>
      </w:r>
      <w:r>
        <w:t xml:space="preserve">가 포함될 수 있습니다. 귀하는 아래 목적을 위해 민감정보가 처리(저장·분석·요약)될 수 있음에 동의합니다.</w:t>
      </w:r>
      <w:r>
        <w:br/>
      </w:r>
      <w:r>
        <w:t xml:space="preserve">- 목적: 대화 기록 제공, 사용자 요청에 따른 맞춤형 관계 코칭, 안전상 위기 대응(자해·폭력 위험 감지 시 긴급 안내)</w:t>
      </w:r>
      <w:r>
        <w:br/>
      </w:r>
      <w:r>
        <w:t xml:space="preserve">- 보유기간:</w:t>
      </w:r>
      <w:r>
        <w:t xml:space="preserve"> </w:t>
      </w:r>
      <w:r>
        <w:rPr>
          <w:b/>
          <w:bCs/>
        </w:rPr>
        <w:t xml:space="preserve">미지정(예: 90일)</w:t>
      </w:r>
      <w:r>
        <w:t xml:space="preserve"> </w:t>
      </w:r>
      <w:r>
        <w:t xml:space="preserve">또는 회원 탈퇴 시까지(정책에 따름)</w:t>
      </w:r>
      <w:r>
        <w:br/>
      </w:r>
      <w:r>
        <w:t xml:space="preserve">- 동의 거부: 민감 주제 상담 기능이 제한될 수 있음</w:t>
      </w:r>
      <w:r>
        <w:br/>
      </w:r>
      <w:r>
        <w:t xml:space="preserve">- 민감정보는 원칙적으로 처리 제한이므로 “별도 동의·최소처리” 설계가 핵심이다.</w:t>
      </w:r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</w:p>
    <w:bookmarkEnd w:id="53"/>
    <w:bookmarkStart w:id="54" w:name="국외이전위탁제3자-제공-고지-문구-예시"/>
    <w:p>
      <w:pPr>
        <w:pStyle w:val="Heading3"/>
      </w:pPr>
      <w:r>
        <w:t xml:space="preserve">국외이전·위탁·제3자 제공 고지 문구 예시</w:t>
      </w:r>
    </w:p>
    <w:p>
      <w:pPr>
        <w:pStyle w:val="FirstParagraph"/>
      </w:pPr>
      <w:r>
        <w:rPr>
          <w:b/>
          <w:bCs/>
        </w:rPr>
        <w:t xml:space="preserve">A. 위탁(국내) 고지(처리방침 내 “개인정보 처리 위탁” 섹션)</w:t>
      </w:r>
      <w:r>
        <w:br/>
      </w:r>
      <w:r>
        <w:t xml:space="preserve">- 표시 위치: 처리방침, 설정 &gt; 개인정보 &gt; “수탁사 목록”</w:t>
      </w:r>
      <w:r>
        <w:br/>
      </w:r>
      <w:r>
        <w:t xml:space="preserve">- 문구(예시):</w:t>
      </w:r>
    </w:p>
    <w:p>
      <w:pPr>
        <w:pStyle w:val="BlockText"/>
      </w:pPr>
      <w:r>
        <w:t xml:space="preserve">수탁사: (예) 클라우드/CS/분석 도구 사업자</w:t>
      </w:r>
      <w:r>
        <w:br/>
      </w:r>
      <w:r>
        <w:t xml:space="preserve">위탁업무: 인프라 운영, 고객문의 처리, 서비스 장애 모니터링</w:t>
      </w:r>
      <w:r>
        <w:br/>
      </w:r>
      <w:r>
        <w:t xml:space="preserve">보유·이용기간: 위탁계약 종료 또는 회원 탈퇴 시까지</w:t>
      </w:r>
      <w:r>
        <w:br/>
      </w:r>
      <w:r>
        <w:t xml:space="preserve">- 위탁 시 계약·관리감독 의무가 발생한다.</w:t>
      </w:r>
      <w:r>
        <w:t xml:space="preserve"> </w:t>
      </w:r>
      <w:hyperlink r:id="rId27">
        <w:r>
          <w:rPr>
            <w:rStyle w:val="Hyperlink"/>
          </w:rPr>
          <w:t xml:space="preserve">[49]</w:t>
        </w:r>
      </w:hyperlink>
    </w:p>
    <w:p>
      <w:pPr>
        <w:pStyle w:val="FirstParagraph"/>
      </w:pPr>
      <w:r>
        <w:rPr>
          <w:b/>
          <w:bCs/>
        </w:rPr>
        <w:t xml:space="preserve">B. LLM API 사용으로 ‘국외 이전’이 발생하는 경우(고지 예시)</w:t>
      </w:r>
      <w:r>
        <w:br/>
      </w:r>
      <w:r>
        <w:t xml:space="preserve">- 표시 위치: 온보딩 동의, 처리방침(국외이전), FAQ “AI 사용 시 데이터 처리”</w:t>
      </w:r>
      <w:r>
        <w:br/>
      </w:r>
      <w:r>
        <w:t xml:space="preserve">- 문구(예시, 실제 값으로 치환):</w:t>
      </w:r>
    </w:p>
    <w:p>
      <w:pPr>
        <w:pStyle w:val="BlockText"/>
      </w:pPr>
      <w:r>
        <w:t xml:space="preserve">국외이전(조회 포함) 항목: 대화 내용 중 서비스 제공에 필요한 최소 정보(PII 마스킹 후 전송)</w:t>
      </w:r>
      <w:r>
        <w:br/>
      </w:r>
      <w:r>
        <w:t xml:space="preserve">이전 국가: 미지정(예: 미국)</w:t>
      </w:r>
      <w:r>
        <w:br/>
      </w:r>
      <w:r>
        <w:t xml:space="preserve">이전받는 자: 미지정(예: LLM API 제공사) 및 연락처</w:t>
      </w:r>
      <w:r>
        <w:br/>
      </w:r>
      <w:r>
        <w:t xml:space="preserve">목적: AI 답변 생성(서비스 제공)</w:t>
      </w:r>
      <w:r>
        <w:br/>
      </w:r>
      <w:r>
        <w:t xml:space="preserve">이전 시기/방법: 대화 요청 시 API 전송(암호화)</w:t>
      </w:r>
      <w:r>
        <w:br/>
      </w:r>
      <w:r>
        <w:t xml:space="preserve">보유·이용기간: 제공사 정책에 따름(가능하면 “미저장/학습 미사용” 계약으로 제한)</w:t>
      </w:r>
      <w:r>
        <w:br/>
      </w:r>
      <w:r>
        <w:t xml:space="preserve">거부 방법/효과: 국외이전 동의 거부 시 AI 기반 답변 기능 제한</w:t>
      </w:r>
      <w:r>
        <w:br/>
      </w:r>
      <w:r>
        <w:t xml:space="preserve">- “국외이전”은 조회 포함·위탁·보관까지 포괄한다는 점을 전제로 고지·근거를 결정해야 한다.</w:t>
      </w:r>
      <w:r>
        <w:t xml:space="preserve"> </w:t>
      </w:r>
      <w:hyperlink r:id="rId34">
        <w:r>
          <w:rPr>
            <w:rStyle w:val="Hyperlink"/>
          </w:rPr>
          <w:t xml:space="preserve">[50]</w:t>
        </w:r>
      </w:hyperlink>
    </w:p>
    <w:bookmarkEnd w:id="54"/>
    <w:bookmarkStart w:id="55" w:name="약관면책책임-샘플-조항"/>
    <w:p>
      <w:pPr>
        <w:pStyle w:val="Heading3"/>
      </w:pPr>
      <w:r>
        <w:t xml:space="preserve">약관(면책·책임) 샘플 조항</w:t>
      </w:r>
    </w:p>
    <w:p>
      <w:pPr>
        <w:pStyle w:val="Compact"/>
        <w:numPr>
          <w:ilvl w:val="0"/>
          <w:numId w:val="1003"/>
        </w:numPr>
      </w:pPr>
      <w:r>
        <w:t xml:space="preserve">적용 위치:</w:t>
      </w:r>
      <w:r>
        <w:t xml:space="preserve"> </w:t>
      </w:r>
      <w:r>
        <w:rPr>
          <w:i/>
          <w:iCs/>
        </w:rPr>
        <w:t xml:space="preserve">이용약관 “서비스 성격”, “면책”, “책임 제한”, “분쟁 해결” 조항</w:t>
      </w:r>
    </w:p>
    <w:p>
      <w:pPr>
        <w:numPr>
          <w:ilvl w:val="0"/>
          <w:numId w:val="1003"/>
        </w:numPr>
      </w:pPr>
      <w:r>
        <w:t xml:space="preserve">예시(핵심 취지):</w:t>
      </w:r>
    </w:p>
    <w:p>
      <w:pPr>
        <w:pStyle w:val="BlockText"/>
        <w:numPr>
          <w:ilvl w:val="0"/>
          <w:numId w:val="1000"/>
        </w:numPr>
      </w:pPr>
      <w:r>
        <w:t xml:space="preserve">회사는 서비스의 답변이 개인의 상황에 항상 정확히 부합함을 보장하지 않습니다. 다만 회사의</w:t>
      </w:r>
      <w:r>
        <w:t xml:space="preserve"> </w:t>
      </w:r>
      <w:r>
        <w:rPr>
          <w:b/>
          <w:bCs/>
        </w:rPr>
        <w:t xml:space="preserve">고의 또는 중대한 과실</w:t>
      </w:r>
      <w:r>
        <w:t xml:space="preserve">로 인한 손해에 대해서는 관련 법령에 따라 책임을 부담합니다.</w:t>
      </w:r>
    </w:p>
    <w:p>
      <w:pPr>
        <w:pStyle w:val="Compact"/>
        <w:numPr>
          <w:ilvl w:val="0"/>
          <w:numId w:val="1003"/>
        </w:numPr>
      </w:pPr>
      <w:r>
        <w:t xml:space="preserve">약관은 공정성을 잃으면 무효이고, 고의·중과실 책임 배제는 무효로 본다.</w:t>
      </w:r>
      <w:r>
        <w:t xml:space="preserve"> </w:t>
      </w:r>
      <w:hyperlink r:id="rId43">
        <w:r>
          <w:rPr>
            <w:rStyle w:val="Hyperlink"/>
          </w:rPr>
          <w:t xml:space="preserve">[40]</w:t>
        </w:r>
      </w:hyperlink>
    </w:p>
    <w:bookmarkEnd w:id="55"/>
    <w:bookmarkEnd w:id="56"/>
    <w:bookmarkStart w:id="64" w:name="기술적-구현-권고"/>
    <w:p>
      <w:pPr>
        <w:pStyle w:val="Heading2"/>
      </w:pPr>
      <w:r>
        <w:t xml:space="preserve">기술적 구현 권고</w:t>
      </w:r>
    </w:p>
    <w:bookmarkStart w:id="57" w:name="데이터-파이프라인-권고"/>
    <w:p>
      <w:pPr>
        <w:pStyle w:val="Heading3"/>
      </w:pPr>
      <w:r>
        <w:t xml:space="preserve">데이터 파이프라인 권고</w:t>
      </w:r>
    </w:p>
    <w:p>
      <w:pPr>
        <w:pStyle w:val="FirstParagraph"/>
      </w:pPr>
      <w:r>
        <w:t xml:space="preserve">핵심 목표는 (i)</w:t>
      </w:r>
      <w:r>
        <w:t xml:space="preserve"> </w:t>
      </w:r>
      <w:r>
        <w:rPr>
          <w:b/>
          <w:bCs/>
        </w:rPr>
        <w:t xml:space="preserve">최소수집</w:t>
      </w:r>
      <w:r>
        <w:t xml:space="preserve">, (ii)</w:t>
      </w:r>
      <w:r>
        <w:t xml:space="preserve"> </w:t>
      </w:r>
      <w:r>
        <w:rPr>
          <w:b/>
          <w:bCs/>
        </w:rPr>
        <w:t xml:space="preserve">PII/민감정보 노출 최소화</w:t>
      </w:r>
      <w:r>
        <w:t xml:space="preserve">, (iii)</w:t>
      </w:r>
      <w:r>
        <w:t xml:space="preserve"> </w:t>
      </w:r>
      <w:r>
        <w:rPr>
          <w:b/>
          <w:bCs/>
        </w:rPr>
        <w:t xml:space="preserve">법정 안전조치(접근통제·암호화·로그 등)</w:t>
      </w:r>
      <w:r>
        <w:t xml:space="preserve">, (iv)</w:t>
      </w:r>
      <w:r>
        <w:t xml:space="preserve"> </w:t>
      </w:r>
      <w:r>
        <w:rPr>
          <w:b/>
          <w:bCs/>
        </w:rPr>
        <w:t xml:space="preserve">삭제/철회가 실제로 동작하는 구조</w:t>
      </w:r>
      <w:r>
        <w:t xml:space="preserve">다. 안전조치 의무와 시행령상 구체 조치 항목을 기준선으로 삼는다.</w:t>
      </w:r>
      <w:r>
        <w:t xml:space="preserve"> </w:t>
      </w:r>
      <w:hyperlink r:id="rId22">
        <w:r>
          <w:rPr>
            <w:rStyle w:val="Hyperlink"/>
          </w:rPr>
          <w:t xml:space="preserve">[51]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U[사용자] --&gt;|입력| A[앱/서버 API]</w:t>
      </w:r>
      <w:r>
        <w:br/>
      </w:r>
      <w:r>
        <w:rPr>
          <w:rStyle w:val="VerbatimChar"/>
        </w:rPr>
        <w:t xml:space="preserve">  A --&gt; P[PII/민감정보 사전처리\n(마스킹·최소화)]</w:t>
      </w:r>
      <w:r>
        <w:br/>
      </w:r>
      <w:r>
        <w:rPr>
          <w:rStyle w:val="VerbatimChar"/>
        </w:rPr>
        <w:t xml:space="preserve">  P --&gt;|최소 토큰| L[외부 LLM 호출\n(위탁/국외이전 가능)]</w:t>
      </w:r>
      <w:r>
        <w:br/>
      </w:r>
      <w:r>
        <w:rPr>
          <w:rStyle w:val="VerbatimChar"/>
        </w:rPr>
        <w:t xml:space="preserve">  L --&gt; R[응답 수신]</w:t>
      </w:r>
      <w:r>
        <w:br/>
      </w:r>
      <w:r>
        <w:rPr>
          <w:rStyle w:val="VerbatimChar"/>
        </w:rPr>
        <w:t xml:space="preserve">  R --&gt; F[출력 필터\n(의료·위기·폭력 트리거)]</w:t>
      </w:r>
      <w:r>
        <w:br/>
      </w:r>
      <w:r>
        <w:rPr>
          <w:rStyle w:val="VerbatimChar"/>
        </w:rPr>
        <w:t xml:space="preserve">  F --&gt;|정상| UI[채팅 UI\n(AI 생성 표시)]</w:t>
      </w:r>
      <w:r>
        <w:br/>
      </w:r>
      <w:r>
        <w:rPr>
          <w:rStyle w:val="VerbatimChar"/>
        </w:rPr>
        <w:t xml:space="preserve">  F --&gt;|위기| CR[위기대응 카드\n(109/112/1366/119)]</w:t>
      </w:r>
      <w:r>
        <w:br/>
      </w:r>
      <w:r>
        <w:rPr>
          <w:rStyle w:val="VerbatimChar"/>
        </w:rPr>
        <w:t xml:space="preserve">  A --&gt; S[(저장소\n암호화·분리보관)]</w:t>
      </w:r>
      <w:r>
        <w:br/>
      </w:r>
      <w:r>
        <w:rPr>
          <w:rStyle w:val="VerbatimChar"/>
        </w:rPr>
        <w:t xml:space="preserve">  S --&gt; D[TTL/삭제 배치\n(탈퇴·요청 반영)]</w:t>
      </w:r>
    </w:p>
    <w:bookmarkEnd w:id="57"/>
    <w:bookmarkStart w:id="61" w:name="가명화익명화-권고"/>
    <w:p>
      <w:pPr>
        <w:pStyle w:val="Heading3"/>
      </w:pPr>
      <w:r>
        <w:t xml:space="preserve">가명화·익명화 권고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원칙</w:t>
      </w:r>
      <w:r>
        <w:t xml:space="preserve">: 부부상담 대화 원문은 재식별 위험이 매우 높으므로, “분석·모니터링” 목적이라면</w:t>
      </w:r>
      <w:r>
        <w:t xml:space="preserve"> </w:t>
      </w:r>
      <w:r>
        <w:rPr>
          <w:b/>
          <w:bCs/>
        </w:rPr>
        <w:t xml:space="preserve">원문 저장을 최소화</w:t>
      </w:r>
      <w:r>
        <w:t xml:space="preserve">하고, 가능하면</w:t>
      </w:r>
      <w:r>
        <w:t xml:space="preserve"> </w:t>
      </w:r>
      <w:r>
        <w:rPr>
          <w:b/>
          <w:bCs/>
        </w:rPr>
        <w:t xml:space="preserve">요약/특징량(feature)만 저장</w:t>
      </w:r>
      <w:r>
        <w:t xml:space="preserve">하는 전략이 안전하다(법적 위험도 감소).</w:t>
      </w:r>
      <w:r>
        <w:t xml:space="preserve"> </w:t>
      </w:r>
      <w:hyperlink r:id="rId58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가명정보(법상 특례)</w:t>
      </w:r>
      <w:r>
        <w:t xml:space="preserve">: 통계작성·과학적 연구·공익적 기록보존 등 목적이라면 동의 없이 가명정보 처리 가능하나, “상업적 서비스 품질개선”이 곧바로 해당하는지 여부는 사안별 검토가 필요하므로, 앱 운영 관점에서는</w:t>
      </w:r>
      <w:r>
        <w:t xml:space="preserve"> </w:t>
      </w:r>
      <w:r>
        <w:rPr>
          <w:b/>
          <w:bCs/>
        </w:rPr>
        <w:t xml:space="preserve">(1) 기본은 동의 기반</w:t>
      </w:r>
      <w:r>
        <w:t xml:space="preserve">, (2) 별도 연구트랙은 목적·거버넌스를 분리하는 방식이 보수적이다.</w:t>
      </w:r>
      <w:r>
        <w:t xml:space="preserve"> </w:t>
      </w:r>
      <w:hyperlink r:id="rId59">
        <w:r>
          <w:rPr>
            <w:rStyle w:val="Hyperlink"/>
          </w:rPr>
          <w:t xml:space="preserve">[53]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익명정보</w:t>
      </w:r>
      <w:r>
        <w:t xml:space="preserve">: 기술적으로 재식별이 불가능한 수준이면 개인정보 규율에서 벗어날 수 있으나, 대화 데이터는 문맥상 재식별이 쉬워 “익명” 주장에 취약하다(실무상 ‘의사 익명’은 위험). (법적 판단은 미지정: 데이터·모델·외부 결합 가능성에 따라 상이)</w:t>
      </w:r>
      <w:r>
        <w:t xml:space="preserve"> </w:t>
      </w:r>
      <w:hyperlink r:id="rId60">
        <w:r>
          <w:rPr>
            <w:rStyle w:val="Hyperlink"/>
          </w:rPr>
          <w:t xml:space="preserve">[54]</w:t>
        </w:r>
      </w:hyperlink>
    </w:p>
    <w:bookmarkEnd w:id="61"/>
    <w:bookmarkStart w:id="62" w:name="암호화접근통제로그관리-구현-포인트"/>
    <w:p>
      <w:pPr>
        <w:pStyle w:val="Heading3"/>
      </w:pPr>
      <w:r>
        <w:t xml:space="preserve">암호화·접근통제·로그관리 구현 포인트</w:t>
      </w:r>
    </w:p>
    <w:p>
      <w:pPr>
        <w:pStyle w:val="FirstParagraph"/>
      </w:pPr>
      <w:r>
        <w:t xml:space="preserve">법은 “내부 관리계획, 접근권한 제한, 암호화, 접속기록 보관” 등을 안전조치로 요구한다.</w:t>
      </w:r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DB/스토리지 암호화(권고 구현)</w:t>
      </w:r>
      <w:r>
        <w:t xml:space="preserve">: 저장구간 전체 암호화(디스크) + 대화 원문/민감필드</w:t>
      </w:r>
      <w:r>
        <w:t xml:space="preserve"> </w:t>
      </w:r>
      <w:r>
        <w:rPr>
          <w:b/>
          <w:bCs/>
        </w:rPr>
        <w:t xml:space="preserve">필드 단위 암호화</w:t>
      </w:r>
      <w:r>
        <w:t xml:space="preserve">(알고리즘·키길이 등은 법령상 미지정).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키 관리</w:t>
      </w:r>
      <w:r>
        <w:t xml:space="preserve">: 애플리케이션과 키 저장소 분리, 키 접근 최소화, 키 회전(예: 90–180일), 키 접근 로그.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접근권한</w:t>
      </w:r>
      <w:r>
        <w:t xml:space="preserve">: 운영자도 원문 열람이 필요할 때만 승인·감사로그를 남기는 “Break-glass” 절차.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접속기록</w:t>
      </w:r>
      <w:r>
        <w:t xml:space="preserve">: 개인정보처리시스템 접근(조회·다운로드 포함) 이벤트에 대해 누가/언제/무엇을 남겼는지 기록·점검(구체 보관기간은 고시·내규 기준으로 운영, 수치 자체는 본 보고서에서 미지정).</w:t>
      </w:r>
    </w:p>
    <w:bookmarkEnd w:id="62"/>
    <w:bookmarkStart w:id="63" w:name="프롬프트-필터링-및-출력-안전장치"/>
    <w:p>
      <w:pPr>
        <w:pStyle w:val="Heading3"/>
      </w:pPr>
      <w:r>
        <w:t xml:space="preserve">프롬프트 필터링 및 출력 안전장치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입력단 PII 마스킹</w:t>
      </w:r>
      <w:r>
        <w:t xml:space="preserve">(권고):</w:t>
      </w:r>
    </w:p>
    <w:p>
      <w:pPr>
        <w:pStyle w:val="Compact"/>
        <w:numPr>
          <w:ilvl w:val="0"/>
          <w:numId w:val="1006"/>
        </w:numPr>
      </w:pPr>
      <w:r>
        <w:t xml:space="preserve">정규식/NER로 이름·전화·주소·계좌·카드·주민번호 패턴 추출 →</w:t>
      </w:r>
      <w:r>
        <w:t xml:space="preserve"> </w:t>
      </w:r>
      <w:r>
        <w:rPr>
          <w:rStyle w:val="VerbatimChar"/>
        </w:rPr>
        <w:t xml:space="preserve">[NAME_1]</w:t>
      </w:r>
      <w:r>
        <w:t xml:space="preserve"> </w:t>
      </w:r>
      <w:r>
        <w:t xml:space="preserve">등 토큰 치환</w:t>
      </w:r>
    </w:p>
    <w:p>
      <w:pPr>
        <w:pStyle w:val="Compact"/>
        <w:numPr>
          <w:ilvl w:val="0"/>
          <w:numId w:val="1006"/>
        </w:numPr>
      </w:pPr>
      <w:r>
        <w:t xml:space="preserve">치환 매핑은</w:t>
      </w:r>
      <w:r>
        <w:t xml:space="preserve"> </w:t>
      </w:r>
      <w:r>
        <w:rPr>
          <w:b/>
          <w:bCs/>
        </w:rPr>
        <w:t xml:space="preserve">세션 메모리(휘발성)</w:t>
      </w:r>
      <w:r>
        <w:t xml:space="preserve"> </w:t>
      </w:r>
      <w:r>
        <w:t xml:space="preserve">또는 별도 암호화 저장(필요 시)</w:t>
      </w:r>
    </w:p>
    <w:p>
      <w:pPr>
        <w:pStyle w:val="Compact"/>
        <w:numPr>
          <w:ilvl w:val="0"/>
          <w:numId w:val="1006"/>
        </w:numPr>
      </w:pPr>
      <w:r>
        <w:t xml:space="preserve">외부 LLM에는 “최소 정보”만 전달(목적 제한).</w:t>
      </w:r>
      <w:r>
        <w:t xml:space="preserve"> </w:t>
      </w:r>
      <w:hyperlink r:id="rId32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출력단 의료/위기 차단</w:t>
      </w:r>
      <w:r>
        <w:t xml:space="preserve">(필수에 가까운 권고):</w:t>
      </w:r>
    </w:p>
    <w:p>
      <w:pPr>
        <w:pStyle w:val="Compact"/>
        <w:numPr>
          <w:ilvl w:val="0"/>
          <w:numId w:val="1006"/>
        </w:numPr>
      </w:pPr>
      <w:r>
        <w:t xml:space="preserve">“약물 용량/자살 실행/폭력 실행” 등은 즉시 차단 및 긴급 안내 카드</w:t>
      </w:r>
    </w:p>
    <w:p>
      <w:pPr>
        <w:pStyle w:val="Compact"/>
        <w:numPr>
          <w:ilvl w:val="0"/>
          <w:numId w:val="1006"/>
        </w:numPr>
      </w:pPr>
      <w:r>
        <w:t xml:space="preserve">“우울증/조현병/성기능장애” 등 진단명 기반 요청에는 “일반적 정보 + 전문기관 연결”로 제한. 의료행위 판단이 광범위하게 이뤄질 수 있다는 판례 태도를 반영한다.</w:t>
      </w:r>
      <w:r>
        <w:t xml:space="preserve"> </w:t>
      </w:r>
      <w:hyperlink r:id="rId26">
        <w:r>
          <w:rPr>
            <w:rStyle w:val="Hyperlink"/>
          </w:rPr>
          <w:t xml:space="preserve">[56]</w:t>
        </w:r>
      </w:hyperlink>
    </w:p>
    <w:bookmarkEnd w:id="63"/>
    <w:bookmarkEnd w:id="64"/>
    <w:bookmarkStart w:id="68" w:name="위탁재위탁국외이전-관리-템플릿"/>
    <w:p>
      <w:pPr>
        <w:pStyle w:val="Heading2"/>
      </w:pPr>
      <w:r>
        <w:t xml:space="preserve">위탁·재위탁·국외이전 관리 템플릿</w:t>
      </w:r>
    </w:p>
    <w:bookmarkStart w:id="65" w:name="위탁dpa-핵심-조항-목록"/>
    <w:p>
      <w:pPr>
        <w:pStyle w:val="Heading3"/>
      </w:pPr>
      <w:r>
        <w:t xml:space="preserve">위탁(DPA) 핵심 조항 목록</w:t>
      </w:r>
    </w:p>
    <w:p>
      <w:pPr>
        <w:pStyle w:val="FirstParagraph"/>
      </w:pPr>
      <w:r>
        <w:t xml:space="preserve">개인정보 처리업무를 외부에 맡기면 “위탁계약(문서)”과 “관리·감독”이 핵심이 된다.</w:t>
      </w:r>
      <w:r>
        <w:t xml:space="preserve"> </w:t>
      </w:r>
      <w:hyperlink r:id="rId27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t xml:space="preserve">아래는 LLM/클라우드/분석도구에 공통적으로 넣을 “핵심조항 체크리스트”다(문구는 예시; 계약서에 맞게 조정).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목적 제한/재이용 금지</w:t>
      </w:r>
      <w:r>
        <w:t xml:space="preserve">: 위탁 목적 외 처리 금지,</w:t>
      </w:r>
      <w:r>
        <w:t xml:space="preserve"> </w:t>
      </w:r>
      <w:r>
        <w:rPr>
          <w:b/>
          <w:bCs/>
        </w:rPr>
        <w:t xml:space="preserve">모델 학습·서비스 개선 학습에 사용 금지</w:t>
      </w:r>
      <w:r>
        <w:t xml:space="preserve">(옵트인 별도 없는 한).</w:t>
      </w:r>
      <w:r>
        <w:t xml:space="preserve"> </w:t>
      </w:r>
      <w:hyperlink r:id="rId32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재위탁 통제</w:t>
      </w:r>
      <w:r>
        <w:t xml:space="preserve">: 재위탁은 사전승인(서면) + 재수탁사 동일 의무 부과.</w:t>
      </w:r>
      <w:r>
        <w:t xml:space="preserve"> </w:t>
      </w:r>
      <w:hyperlink r:id="rId27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기술·관리적 안전조치</w:t>
      </w:r>
      <w:r>
        <w:t xml:space="preserve">: 접근통제, 암호화, 로그, 취약점 관리, 내부자 통제(법정 안전조치 수준 이상).</w:t>
      </w:r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침해사고 통지 SLA</w:t>
      </w:r>
      <w:r>
        <w:t xml:space="preserve">: “인지 후 X시간 이내 통지”, 조사 협조, 로그 제공. 유출 통지 의무 이행을 지원해야 한다.</w:t>
      </w:r>
      <w:r>
        <w:t xml:space="preserve"> </w:t>
      </w:r>
      <w:hyperlink r:id="rId23">
        <w:r>
          <w:rPr>
            <w:rStyle w:val="Hyperlink"/>
          </w:rPr>
          <w:t xml:space="preserve">[58]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삭제/반환</w:t>
      </w:r>
      <w:r>
        <w:t xml:space="preserve">: 계약 종료 또는 요청 시 지체 없이 삭제·반환(백업 포함 정책 명시).</w:t>
      </w:r>
      <w:r>
        <w:t xml:space="preserve"> </w:t>
      </w:r>
      <w:hyperlink r:id="rId36">
        <w:r>
          <w:rPr>
            <w:rStyle w:val="Hyperlink"/>
          </w:rPr>
          <w:t xml:space="preserve">[59]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감사/점검 권한</w:t>
      </w:r>
      <w:r>
        <w:t xml:space="preserve">: 정기 보안점검, 자료제출/현장점검(현실적으로는 제3자 인증 보고서 대체 가능).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국외이전 발생 시 책임 분담</w:t>
      </w:r>
      <w:r>
        <w:t xml:space="preserve">: 이전 국가/서버 위치/하위처리자 목록 제공, 변경 시 사전 통지.</w:t>
      </w:r>
      <w:r>
        <w:t xml:space="preserve"> </w:t>
      </w:r>
      <w:hyperlink r:id="rId34">
        <w:r>
          <w:rPr>
            <w:rStyle w:val="Hyperlink"/>
          </w:rPr>
          <w:t xml:space="preserve">[60]</w:t>
        </w:r>
      </w:hyperlink>
    </w:p>
    <w:bookmarkEnd w:id="65"/>
    <w:bookmarkStart w:id="67" w:name="국외이전-관리-체크리스트"/>
    <w:p>
      <w:pPr>
        <w:pStyle w:val="Heading3"/>
      </w:pPr>
      <w:r>
        <w:t xml:space="preserve">국외이전 관리 체크리스트</w:t>
      </w:r>
    </w:p>
    <w:p>
      <w:pPr>
        <w:pStyle w:val="FirstParagraph"/>
      </w:pPr>
      <w:r>
        <w:t xml:space="preserve">국외이전은 “제공(조회 포함)·처리위탁·보관”을 포괄하며, 처리방침 기재 및 (경우에 따라) 별도 동의가 필요하다.</w:t>
      </w:r>
      <w:r>
        <w:t xml:space="preserve"> </w:t>
      </w:r>
      <w:hyperlink r:id="rId34">
        <w:r>
          <w:rPr>
            <w:rStyle w:val="Hyperlink"/>
          </w:rPr>
          <w:t xml:space="preserve">[50]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발생 여부 판정</w:t>
      </w:r>
      <w:r>
        <w:t xml:space="preserve">: 외부 LLM 호출이 “국외 서버에서 조회/처리”인지, 로그/캐시가 국외 저장되는지 확인(벤더 문서·계약으로 확보).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이전 근거 선택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(1) 정보주체</w:t>
      </w:r>
      <w:r>
        <w:t xml:space="preserve"> </w:t>
      </w:r>
      <w:r>
        <w:rPr>
          <w:b/>
          <w:bCs/>
        </w:rPr>
        <w:t xml:space="preserve">별도 동의</w:t>
      </w:r>
      <w:r>
        <w:t xml:space="preserve">(보수적), 또는</w:t>
      </w:r>
    </w:p>
    <w:p>
      <w:pPr>
        <w:pStyle w:val="Compact"/>
        <w:numPr>
          <w:ilvl w:val="0"/>
          <w:numId w:val="1008"/>
        </w:numPr>
      </w:pPr>
      <w:r>
        <w:t xml:space="preserve">(2) 계약의 체결·이행을 위한 처리위탁·보관 + 처리방침 공개/전자우편 고지(세부요건은 대통령령/가이드에 따라</w:t>
      </w:r>
      <w:r>
        <w:t xml:space="preserve"> </w:t>
      </w:r>
      <w:r>
        <w:rPr>
          <w:b/>
          <w:bCs/>
        </w:rPr>
        <w:t xml:space="preserve">미지정</w:t>
      </w:r>
      <w:r>
        <w:t xml:space="preserve">).</w:t>
      </w:r>
      <w:r>
        <w:t xml:space="preserve"> </w:t>
      </w:r>
      <w:hyperlink r:id="rId34">
        <w:r>
          <w:rPr>
            <w:rStyle w:val="Hyperlink"/>
          </w:rPr>
          <w:t xml:space="preserve">[60]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고지 항목</w:t>
      </w:r>
      <w:r>
        <w:t xml:space="preserve">: 이전 항목, 국가, 수신자, 목적, 보유·이용기간, 거부 방법/효과(실제 문구는 전 절 샘플 참고).</w:t>
      </w:r>
      <w:r>
        <w:t xml:space="preserve"> </w:t>
      </w:r>
      <w:hyperlink r:id="rId66">
        <w:r>
          <w:rPr>
            <w:rStyle w:val="Hyperlink"/>
          </w:rPr>
          <w:t xml:space="preserve">[61]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변경관리</w:t>
      </w:r>
      <w:r>
        <w:t xml:space="preserve">: 수신자/국가 변경 시 재고지·재동의(필요 시).</w:t>
      </w:r>
      <w:r>
        <w:t xml:space="preserve"> </w:t>
      </w:r>
      <w:hyperlink r:id="rId30">
        <w:r>
          <w:rPr>
            <w:rStyle w:val="Hyperlink"/>
          </w:rPr>
          <w:t xml:space="preserve">[62]</w:t>
        </w:r>
      </w:hyperlink>
    </w:p>
    <w:bookmarkEnd w:id="67"/>
    <w:bookmarkEnd w:id="68"/>
    <w:bookmarkStart w:id="77" w:name="위기-대응-및-쟁점-대응-시나리오"/>
    <w:p>
      <w:pPr>
        <w:pStyle w:val="Heading2"/>
      </w:pPr>
      <w:r>
        <w:t xml:space="preserve">위기 대응 및 쟁점 대응 시나리오</w:t>
      </w:r>
    </w:p>
    <w:bookmarkStart w:id="71" w:name="위기-대응-프로토콜"/>
    <w:p>
      <w:pPr>
        <w:pStyle w:val="Heading3"/>
      </w:pPr>
      <w:r>
        <w:t xml:space="preserve">위기 대응 프로토콜</w:t>
      </w:r>
    </w:p>
    <w:p>
      <w:pPr>
        <w:pStyle w:val="FirstParagraph"/>
      </w:pPr>
      <w:r>
        <w:t xml:space="preserve">정신건강 위기상담전화(1577-0199, 129) 운영 체계는 공식적으로 안내되어 있으며, 자살예방 상담전화(109)는 129·기존 1393 등과 통합 운영된다는 정부 발표가 있다. 또한 여성폭력(가정폭력 등) 피해 지원을 위한 1366은 24시간 운영으로 안내된다.</w:t>
      </w:r>
      <w:r>
        <w:t xml:space="preserve"> </w:t>
      </w:r>
      <w:hyperlink r:id="rId49">
        <w:r>
          <w:rPr>
            <w:rStyle w:val="Hyperlink"/>
          </w:rPr>
          <w:t xml:space="preserve">[63]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S[사용자 입력] --&gt; D{위기 신호 감지?}</w:t>
      </w:r>
      <w:r>
        <w:br/>
      </w:r>
      <w:r>
        <w:rPr>
          <w:rStyle w:val="VerbatimChar"/>
        </w:rPr>
        <w:t xml:space="preserve">  D -- 아니오 --&gt; N[일반 대화 응답\n(AI 생성 표시)]</w:t>
      </w:r>
      <w:r>
        <w:br/>
      </w:r>
      <w:r>
        <w:rPr>
          <w:rStyle w:val="VerbatimChar"/>
        </w:rPr>
        <w:t xml:space="preserve">  D -- 예 --&gt; C{유형 분류}</w:t>
      </w:r>
      <w:r>
        <w:br/>
      </w:r>
      <w:r>
        <w:rPr>
          <w:rStyle w:val="VerbatimChar"/>
        </w:rPr>
        <w:t xml:space="preserve">  C -- 자해/자살 --&gt; S1[안전확인 메시지\n즉시 109/1577-0199/119 안내]</w:t>
      </w:r>
      <w:r>
        <w:br/>
      </w:r>
      <w:r>
        <w:rPr>
          <w:rStyle w:val="VerbatimChar"/>
        </w:rPr>
        <w:t xml:space="preserve">  C -- 가정폭력/스토킹 --&gt; S2[긴급보호 안내\n112/1366 연결]</w:t>
      </w:r>
      <w:r>
        <w:br/>
      </w:r>
      <w:r>
        <w:rPr>
          <w:rStyle w:val="VerbatimChar"/>
        </w:rPr>
        <w:t xml:space="preserve">  C -- 아동학대 의심 --&gt; S3[긴급 안내\n112 등 신고 안내(미지정: 문구 정책)]</w:t>
      </w:r>
      <w:r>
        <w:br/>
      </w:r>
      <w:r>
        <w:rPr>
          <w:rStyle w:val="VerbatimChar"/>
        </w:rPr>
        <w:t xml:space="preserve">  S1 --&gt; L[“지금 즉시 전화” 버튼]</w:t>
      </w:r>
      <w:r>
        <w:br/>
      </w:r>
      <w:r>
        <w:rPr>
          <w:rStyle w:val="VerbatimChar"/>
        </w:rPr>
        <w:t xml:space="preserve">  S2 --&gt; L</w:t>
      </w:r>
      <w:r>
        <w:br/>
      </w:r>
      <w:r>
        <w:rPr>
          <w:rStyle w:val="VerbatimChar"/>
        </w:rPr>
        <w:t xml:space="preserve">  S3 --&gt; L</w:t>
      </w:r>
      <w:r>
        <w:br/>
      </w:r>
      <w:r>
        <w:rPr>
          <w:rStyle w:val="VerbatimChar"/>
        </w:rPr>
        <w:t xml:space="preserve">  L --&gt; E[대화 모드 제한\n의료/법률 판단 금지\n연락처/기관 안내 중심]</w:t>
      </w:r>
      <w:r>
        <w:br/>
      </w:r>
      <w:r>
        <w:rPr>
          <w:rStyle w:val="VerbatimChar"/>
        </w:rPr>
        <w:t xml:space="preserve">  E --&gt; R[사후 기록(최소화)\n정책 따라 보관]</w:t>
      </w:r>
    </w:p>
    <w:p>
      <w:pPr>
        <w:pStyle w:val="FirstParagraph"/>
      </w:pPr>
      <w:r>
        <w:rPr>
          <w:b/>
          <w:bCs/>
        </w:rPr>
        <w:t xml:space="preserve">앱 내 긴급 안내 카드 문구(예시)</w:t>
      </w:r>
      <w:r>
        <w:br/>
      </w:r>
      <w:r>
        <w:t xml:space="preserve">- 자해/자살 위험 감지 시:</w:t>
      </w:r>
    </w:p>
    <w:p>
      <w:pPr>
        <w:pStyle w:val="BlockText"/>
      </w:pPr>
      <w:r>
        <w:t xml:space="preserve">지금 안전이 가장 중요합니다.</w:t>
      </w:r>
      <w:r>
        <w:t xml:space="preserve"> </w:t>
      </w:r>
      <w:r>
        <w:rPr>
          <w:b/>
          <w:bCs/>
        </w:rPr>
        <w:t xml:space="preserve">즉시 도움을 요청하세요.</w:t>
      </w:r>
      <w:r>
        <w:br/>
      </w:r>
      <w:r>
        <w:t xml:space="preserve">- 자살예방 상담전화</w:t>
      </w:r>
      <w:r>
        <w:t xml:space="preserve"> </w:t>
      </w:r>
      <w:r>
        <w:rPr>
          <w:b/>
          <w:bCs/>
        </w:rPr>
        <w:t xml:space="preserve">109</w:t>
      </w:r>
      <w:r>
        <w:br/>
      </w:r>
      <w:r>
        <w:t xml:space="preserve">- 정신건강 위기상담전화</w:t>
      </w:r>
      <w:r>
        <w:t xml:space="preserve"> </w:t>
      </w:r>
      <w:r>
        <w:rPr>
          <w:b/>
          <w:bCs/>
        </w:rPr>
        <w:t xml:space="preserve">1577-0199</w:t>
      </w:r>
      <w:r>
        <w:t xml:space="preserve">(또는 129)</w:t>
      </w:r>
      <w:r>
        <w:br/>
      </w:r>
      <w:r>
        <w:t xml:space="preserve">- 긴급 상황 시</w:t>
      </w:r>
      <w:r>
        <w:t xml:space="preserve"> </w:t>
      </w:r>
      <w:r>
        <w:rPr>
          <w:b/>
          <w:bCs/>
        </w:rPr>
        <w:t xml:space="preserve">119</w:t>
      </w:r>
      <w:r>
        <w:t xml:space="preserve"> </w:t>
      </w:r>
      <w:hyperlink r:id="rId69">
        <w:r>
          <w:rPr>
            <w:rStyle w:val="Hyperlink"/>
          </w:rPr>
          <w:t xml:space="preserve">[64]</w:t>
        </w:r>
      </w:hyperlink>
      <w:r>
        <w:br/>
      </w:r>
      <w:r>
        <w:t xml:space="preserve">- 가정폭력/스토킹 등:</w:t>
      </w:r>
      <w:r>
        <w:br/>
      </w:r>
      <w:r>
        <w:t xml:space="preserve">폭력 또는 위협이 있다면 즉시 안전한 곳으로 이동하고</w:t>
      </w:r>
      <w:r>
        <w:t xml:space="preserve"> </w:t>
      </w:r>
      <w:r>
        <w:rPr>
          <w:b/>
          <w:bCs/>
        </w:rPr>
        <w:t xml:space="preserve">112</w:t>
      </w:r>
      <w:r>
        <w:t xml:space="preserve">에 연락하세요.</w:t>
      </w:r>
      <w:r>
        <w:br/>
      </w:r>
      <w:r>
        <w:t xml:space="preserve">긴급 상담·보호 연계:</w:t>
      </w:r>
      <w:r>
        <w:t xml:space="preserve"> </w:t>
      </w:r>
      <w:r>
        <w:rPr>
          <w:b/>
          <w:bCs/>
        </w:rPr>
        <w:t xml:space="preserve">여성긴급전화 1366(24시간)</w:t>
      </w:r>
      <w:r>
        <w:t xml:space="preserve"> </w:t>
      </w:r>
      <w:hyperlink r:id="rId70">
        <w:r>
          <w:rPr>
            <w:rStyle w:val="Hyperlink"/>
          </w:rPr>
          <w:t xml:space="preserve">[65]</w:t>
        </w:r>
      </w:hyperlink>
    </w:p>
    <w:bookmarkEnd w:id="71"/>
    <w:bookmarkStart w:id="76" w:name="쟁점별-대응-시나리오"/>
    <w:p>
      <w:pPr>
        <w:pStyle w:val="Heading3"/>
      </w:pPr>
      <w:r>
        <w:t xml:space="preserve">쟁점별 대응 시나리오</w:t>
      </w:r>
    </w:p>
    <w:bookmarkStart w:id="72" w:name="개인정보-유출-발생"/>
    <w:p>
      <w:pPr>
        <w:pStyle w:val="Heading4"/>
      </w:pPr>
      <w:r>
        <w:t xml:space="preserve">개인정보 유출 발생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트리거</w:t>
      </w:r>
      <w:r>
        <w:t xml:space="preserve">: 대화 로그/계정정보 외부 유출(민감정보 포함 가능).</w:t>
      </w:r>
      <w:r>
        <w:t xml:space="preserve"> </w:t>
      </w:r>
      <w:hyperlink r:id="rId21">
        <w:r>
          <w:rPr>
            <w:rStyle w:val="Hyperlink"/>
          </w:rPr>
          <w:t xml:space="preserve">[66]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즉시 조치</w:t>
      </w:r>
      <w:r>
        <w:t xml:space="preserve">: (1) 유출 범위 확인, (2) 접근차단·키 회전, (3) 포렌식 로그 보전, (4) 데이터 최소화 및 추가 유출 방지.</w:t>
      </w:r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법정 통지 요소 반영</w:t>
      </w:r>
      <w:r>
        <w:t xml:space="preserve">: 유출 항목·시점·경위·피해 최소화 방법·대응조치·담당부서/연락처를 포함해 지체 없이 통지.</w:t>
      </w:r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사후</w:t>
      </w:r>
      <w:r>
        <w:t xml:space="preserve">: 재발 방지(접근통제·암호화·로그 점검), FAQ/공지 정리, CS 스크립트 배포.</w:t>
      </w:r>
    </w:p>
    <w:bookmarkEnd w:id="72"/>
    <w:bookmarkStart w:id="73" w:name="ai-오작동으로-인한-피해-주장"/>
    <w:p>
      <w:pPr>
        <w:pStyle w:val="Heading4"/>
      </w:pPr>
      <w:r>
        <w:t xml:space="preserve">AI 오작동으로 인한 피해 주장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전형 패턴</w:t>
      </w:r>
      <w:r>
        <w:t xml:space="preserve">: “AI 조언 때문에 관계가 악화되었다”, “자해 위험을 제대로 안내하지 않았다” 등.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핵심 대응 논리</w:t>
      </w:r>
      <w:r>
        <w:t xml:space="preserve">:</w:t>
      </w:r>
      <w:r>
        <w:br/>
      </w:r>
      <w:r>
        <w:t xml:space="preserve">1) 서비스가 의료행위가 아님을 일관되게 고지(온보딩·채팅 UI·FAQ·약관),</w:t>
      </w:r>
      <w:r>
        <w:t xml:space="preserve"> </w:t>
      </w:r>
      <w:hyperlink r:id="rId39">
        <w:r>
          <w:rPr>
            <w:rStyle w:val="Hyperlink"/>
          </w:rPr>
          <w:t xml:space="preserve">[67]</w:t>
        </w:r>
      </w:hyperlink>
      <w:r>
        <w:br/>
      </w:r>
      <w:r>
        <w:t xml:space="preserve">2) AI 생성 표시 및 사전고지를 통해 오인 가능성 축소,</w:t>
      </w:r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  <w:r>
        <w:br/>
      </w:r>
      <w:r>
        <w:t xml:space="preserve">3) 위기대응 플로우 내장 및 로그(최소화)로 합리적 안전조치 입증.</w:t>
      </w:r>
      <w:r>
        <w:t xml:space="preserve"> </w:t>
      </w:r>
      <w:hyperlink r:id="rId22">
        <w:r>
          <w:rPr>
            <w:rStyle w:val="Hyperlink"/>
          </w:rPr>
          <w:t xml:space="preserve">[68]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약관 주의</w:t>
      </w:r>
      <w:r>
        <w:t xml:space="preserve">: 고의·중과실 면책은 무효 가능성이 높으므로 “합리적 제한 + 안전조치” 중심으로 방어 구조를 설계.</w:t>
      </w:r>
      <w:r>
        <w:t xml:space="preserve"> </w:t>
      </w:r>
      <w:hyperlink r:id="rId44">
        <w:r>
          <w:rPr>
            <w:rStyle w:val="Hyperlink"/>
          </w:rPr>
          <w:t xml:space="preserve">[69]</w:t>
        </w:r>
      </w:hyperlink>
    </w:p>
    <w:bookmarkEnd w:id="73"/>
    <w:bookmarkStart w:id="74" w:name="의료행위-주장행정조사-대응"/>
    <w:p>
      <w:pPr>
        <w:pStyle w:val="Heading4"/>
      </w:pPr>
      <w:r>
        <w:t xml:space="preserve">의료행위 주장·행정조사 대응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리스크 근거</w:t>
      </w:r>
      <w:r>
        <w:t xml:space="preserve">: 의료행위는 “질병의 예방·치료행위 + 의료인이 아니면 보건위생상 위해 우려가 있는 행위”로 넓게 정의·판단되는 경향이 있다.</w:t>
      </w:r>
      <w:r>
        <w:t xml:space="preserve"> </w:t>
      </w:r>
      <w:hyperlink r:id="rId26">
        <w:r>
          <w:rPr>
            <w:rStyle w:val="Hyperlink"/>
          </w:rPr>
          <w:t xml:space="preserve">[70]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방어 포인트(증빙 패키지)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(1) 금지 카피 목록과 QA 기록(치료/진단/처방 부재),</w:t>
      </w:r>
      <w:r>
        <w:t xml:space="preserve"> </w:t>
      </w:r>
      <w:hyperlink r:id="rId41">
        <w:r>
          <w:rPr>
            <w:rStyle w:val="Hyperlink"/>
          </w:rPr>
          <w:t xml:space="preserve">[71]</w:t>
        </w:r>
      </w:hyperlink>
    </w:p>
    <w:p>
      <w:pPr>
        <w:pStyle w:val="Compact"/>
        <w:numPr>
          <w:ilvl w:val="0"/>
          <w:numId w:val="1011"/>
        </w:numPr>
      </w:pPr>
      <w:r>
        <w:t xml:space="preserve">(2) 의료행위 회피 프롬프트·룰 기반 필터 정책 문서,</w:t>
      </w:r>
    </w:p>
    <w:p>
      <w:pPr>
        <w:pStyle w:val="Compact"/>
        <w:numPr>
          <w:ilvl w:val="0"/>
          <w:numId w:val="1011"/>
        </w:numPr>
      </w:pPr>
      <w:r>
        <w:t xml:space="preserve">(3) 복지부 유권해석 신청/결과(가능하면) 및 변경 이력.</w:t>
      </w:r>
      <w:r>
        <w:t xml:space="preserve"> </w:t>
      </w:r>
      <w:hyperlink r:id="rId47">
        <w:r>
          <w:rPr>
            <w:rStyle w:val="Hyperlink"/>
          </w:rPr>
          <w:t xml:space="preserve">[38]</w:t>
        </w:r>
      </w:hyperlink>
    </w:p>
    <w:bookmarkEnd w:id="74"/>
    <w:bookmarkStart w:id="75" w:name="광고표시광고-위반-통지공정위플랫폼"/>
    <w:p>
      <w:pPr>
        <w:pStyle w:val="Heading4"/>
      </w:pPr>
      <w:r>
        <w:t xml:space="preserve">광고·표시광고 위반 통지(공정위/플랫폼)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리스크 근거</w:t>
      </w:r>
      <w:r>
        <w:t xml:space="preserve">: 거짓·과장·기만적 광고 금지. 의료 관련 광고는 별도 제한 및 “치료효과 오인” 유발 광고 금지 요소가 있다.</w:t>
      </w:r>
      <w:r>
        <w:t xml:space="preserve"> </w:t>
      </w:r>
      <w:hyperlink r:id="rId42">
        <w:r>
          <w:rPr>
            <w:rStyle w:val="Hyperlink"/>
          </w:rPr>
          <w:t xml:space="preserve">[72]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대응</w:t>
      </w:r>
      <w:r>
        <w:t xml:space="preserve">: (1) 즉시 소재 중단, (2) 근거자료 제출(통계 주장 시), (3) 문구 교체(‘치료/완치’ → ‘대화 가이드/관계 코칭’), (4) 광고 승인 프로세스 강화.</w:t>
      </w:r>
    </w:p>
    <w:bookmarkEnd w:id="75"/>
    <w:bookmarkEnd w:id="76"/>
    <w:bookmarkEnd w:id="77"/>
    <w:bookmarkStart w:id="83" w:name="참고-출처-우선순위"/>
    <w:p>
      <w:pPr>
        <w:pStyle w:val="Heading2"/>
      </w:pPr>
      <w:r>
        <w:t xml:space="preserve">참고 출처 우선순위</w:t>
      </w:r>
    </w:p>
    <w:p>
      <w:pPr>
        <w:pStyle w:val="FirstParagraph"/>
      </w:pPr>
      <w:r>
        <w:t xml:space="preserve">본 주제는 “법령 원문 + 소관기관 가이드 + 판례” 순으로 신뢰도를 두고 참조하는 것이 합리적이다.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법령 원문</w:t>
      </w:r>
      <w:r>
        <w:t xml:space="preserve">: 국가법령정보센터</w:t>
      </w:r>
      <w:hyperlink r:id="rId59">
        <w:r>
          <w:rPr>
            <w:rStyle w:val="Hyperlink"/>
          </w:rPr>
          <w:t xml:space="preserve">[73]</w:t>
        </w:r>
      </w:hyperlink>
      <w:r>
        <w:t xml:space="preserve">(개인정보 보호법·시행령, 정보통신망법, 의료법, 전자상거래법, 표시광고법, 약관법, 디지털의료제품법 등).</w:t>
      </w:r>
      <w:r>
        <w:t xml:space="preserve"> </w:t>
      </w:r>
      <w:hyperlink r:id="rId25">
        <w:r>
          <w:rPr>
            <w:rStyle w:val="Hyperlink"/>
          </w:rPr>
          <w:t xml:space="preserve">[74]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개인정보 정책·집행·가이드</w:t>
      </w:r>
      <w:r>
        <w:t xml:space="preserve">: 개인정보보호위원회</w:t>
      </w:r>
      <w:hyperlink r:id="rId38">
        <w:r>
          <w:rPr>
            <w:rStyle w:val="Hyperlink"/>
          </w:rPr>
          <w:t xml:space="preserve">[75]</w:t>
        </w:r>
      </w:hyperlink>
      <w:r>
        <w:t xml:space="preserve">(생성형 AI 개인정보 처리 안내서 보도자료/지침, 국외이전 해설, 가명정보 가이드라인).</w:t>
      </w:r>
      <w:r>
        <w:t xml:space="preserve"> </w:t>
      </w:r>
      <w:hyperlink r:id="rId58">
        <w:r>
          <w:rPr>
            <w:rStyle w:val="Hyperlink"/>
          </w:rPr>
          <w:t xml:space="preserve">[76]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의료/비의료 경계 가이드</w:t>
      </w:r>
      <w:r>
        <w:t xml:space="preserve">: 보건복지부</w:t>
      </w:r>
      <w:hyperlink r:id="rId25">
        <w:r>
          <w:rPr>
            <w:rStyle w:val="Hyperlink"/>
          </w:rPr>
          <w:t xml:space="preserve">[77]</w:t>
        </w:r>
      </w:hyperlink>
      <w:r>
        <w:t xml:space="preserve">(비의료 건강관리서비스 가이드라인, 의료행위 유권해석 절차 안내).</w:t>
      </w:r>
      <w:r>
        <w:t xml:space="preserve"> </w:t>
      </w:r>
      <w:hyperlink r:id="rId78">
        <w:r>
          <w:rPr>
            <w:rStyle w:val="Hyperlink"/>
          </w:rPr>
          <w:t xml:space="preserve">[78]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스팸/광고성 정보 규율 안내</w:t>
      </w:r>
      <w:r>
        <w:t xml:space="preserve">: 한국인터넷진흥원</w:t>
      </w:r>
      <w:hyperlink r:id="rId38">
        <w:r>
          <w:rPr>
            <w:rStyle w:val="Hyperlink"/>
          </w:rPr>
          <w:t xml:space="preserve">[79]</w:t>
        </w:r>
      </w:hyperlink>
      <w:r>
        <w:t xml:space="preserve">(불법스팸 대응센터, 2년 주기 수신동의 확인 안내).</w:t>
      </w:r>
      <w:r>
        <w:t xml:space="preserve"> </w:t>
      </w:r>
      <w:hyperlink r:id="rId79">
        <w:r>
          <w:rPr>
            <w:rStyle w:val="Hyperlink"/>
          </w:rPr>
          <w:t xml:space="preserve">[80]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투명성 정책</w:t>
      </w:r>
      <w:r>
        <w:t xml:space="preserve">: 과학기술정보통신부</w:t>
      </w:r>
      <w:hyperlink r:id="rId69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발표 및 AI 기본법 제31조 기반 가이드(공식 보도자료 및 관련 문서).</w:t>
      </w:r>
      <w:r>
        <w:t xml:space="preserve"> </w:t>
      </w:r>
      <w:hyperlink r:id="rId80">
        <w:r>
          <w:rPr>
            <w:rStyle w:val="Hyperlink"/>
          </w:rPr>
          <w:t xml:space="preserve">[82]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의료기기/디지털의료 규제</w:t>
      </w:r>
      <w:r>
        <w:t xml:space="preserve">: 식품의약품안전처</w:t>
      </w:r>
      <w:hyperlink r:id="rId21">
        <w:r>
          <w:rPr>
            <w:rStyle w:val="Hyperlink"/>
          </w:rPr>
          <w:t xml:space="preserve">[83]</w:t>
        </w:r>
      </w:hyperlink>
      <w:r>
        <w:t xml:space="preserve">(디지털의료제품 범위 안내, 디지털의료기기 SW 가이드라인).</w:t>
      </w:r>
      <w:r>
        <w:t xml:space="preserve"> </w:t>
      </w:r>
      <w:hyperlink r:id="rId81">
        <w:r>
          <w:rPr>
            <w:rStyle w:val="Hyperlink"/>
          </w:rPr>
          <w:t xml:space="preserve">[84]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판례</w:t>
      </w:r>
      <w:r>
        <w:t xml:space="preserve">: 대법원</w:t>
      </w:r>
      <w:hyperlink r:id="rId41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및 국가법령정보센터 판례(‘의료행위’ 정의·무면허 의료행위 판단기준).</w:t>
      </w:r>
      <w:r>
        <w:t xml:space="preserve"> </w:t>
      </w:r>
      <w:hyperlink r:id="rId26">
        <w:r>
          <w:rPr>
            <w:rStyle w:val="Hyperlink"/>
          </w:rPr>
          <w:t xml:space="preserve">[70]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폭력·위기 지원 체계</w:t>
      </w:r>
      <w:r>
        <w:t xml:space="preserve">: 여성가족부</w:t>
      </w:r>
      <w:hyperlink r:id="rId82">
        <w:r>
          <w:rPr>
            <w:rStyle w:val="Hyperlink"/>
          </w:rPr>
          <w:t xml:space="preserve">[86]</w:t>
        </w:r>
      </w:hyperlink>
      <w:r>
        <w:t xml:space="preserve">(1366), 국립정신건강센터</w:t>
      </w:r>
      <w:hyperlink r:id="rId30">
        <w:r>
          <w:rPr>
            <w:rStyle w:val="Hyperlink"/>
          </w:rPr>
          <w:t xml:space="preserve">[87]</w:t>
        </w:r>
      </w:hyperlink>
      <w:r>
        <w:t xml:space="preserve">(1577-0199 관련 자료).</w:t>
      </w:r>
      <w:r>
        <w:t xml:space="preserve"> </w:t>
      </w:r>
      <w:hyperlink r:id="rId82">
        <w:r>
          <w:rPr>
            <w:rStyle w:val="Hyperlink"/>
          </w:rPr>
          <w:t xml:space="preserve">[88]</w:t>
        </w:r>
      </w:hyperlink>
    </w:p>
    <w:bookmarkEnd w:id="83"/>
    <w:bookmarkEnd w:id="84"/>
    <w:bookmarkEnd w:id="85"/>
    <w:p>
      <w:r>
        <w:pict>
          <v:rect style="width:0;height:1.5pt" o:hralign="center" o:hrstd="t" o:hr="t"/>
        </w:pict>
      </w:r>
    </w:p>
    <w:bookmarkStart w:id="8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  <w:r>
        <w:t xml:space="preserve"> </w:t>
      </w:r>
      <w:hyperlink r:id="rId21">
        <w:r>
          <w:rPr>
            <w:rStyle w:val="Hyperlink"/>
          </w:rPr>
          <w:t xml:space="preserve">[66]</w:t>
        </w:r>
      </w:hyperlink>
      <w:r>
        <w:t xml:space="preserve"> </w:t>
      </w:r>
      <w:hyperlink r:id="rId21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조문정보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https://www.law.go.kr/LSW//lsLinkCommonInfo.do?ancYnChk=&amp;chrClsCd=010202&amp;lsJoLnkSeq=1029335559&amp;utm_source=chatgpt.com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  <w:r>
        <w:t xml:space="preserve"> </w:t>
      </w:r>
      <w:hyperlink r:id="rId22">
        <w:r>
          <w:rPr>
            <w:rStyle w:val="Hyperlink"/>
          </w:rPr>
          <w:t xml:space="preserve">[44]</w:t>
        </w:r>
      </w:hyperlink>
      <w:r>
        <w:t xml:space="preserve"> </w:t>
      </w:r>
      <w:hyperlink r:id="rId22">
        <w:r>
          <w:rPr>
            <w:rStyle w:val="Hyperlink"/>
          </w:rPr>
          <w:t xml:space="preserve">[51]</w:t>
        </w:r>
      </w:hyperlink>
      <w:r>
        <w:t xml:space="preserve"> </w:t>
      </w:r>
      <w:hyperlink r:id="rId22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조문정보 | 국가법령정보센터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https://www.law.go.kr/LSW//lsLawLinkInfo.do?chrClsCd=010202&amp;lsJoLnkSeq=900079357&amp;utm_source=chatgpt.com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3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제34조(개인정보 유출 등의 통지ㆍ신고)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https://www.law.go.kr/LSW//lsLawLinkInfo.do?chrClsCd=010202&amp;lsId=011357&amp;lsJoLnkSeq=1000089678&amp;print=print&amp;utm_source=chatgpt.com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hyperlink r:id="rId25">
        <w:r>
          <w:rPr>
            <w:rStyle w:val="Hyperlink"/>
          </w:rPr>
          <w:t xml:space="preserve">[74]</w:t>
        </w:r>
      </w:hyperlink>
      <w:r>
        <w:t xml:space="preserve"> </w:t>
      </w:r>
      <w:hyperlink r:id="rId25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개인정보 보호법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https://www.law.go.kr/LSW/lsLawLinkInfo.do?chrClsCd=010202&amp;lsId=011357&amp;lsJoLnkSeq=900078940&amp;print=print&amp;utm_source=chatgpt.com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[56]</w:t>
        </w:r>
      </w:hyperlink>
      <w:r>
        <w:t xml:space="preserve"> </w:t>
      </w:r>
      <w:hyperlink r:id="rId26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https://www.law.go.kr/LSW/precInfoP.do?precSeq=197927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https://www.law.go.kr/LSW/precInfoP.do?precSeq=197927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[16]</w:t>
        </w:r>
      </w:hyperlink>
      <w:r>
        <w:t xml:space="preserve"> </w:t>
      </w:r>
      <w:hyperlink r:id="rId27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조문정보 | 국가법령정보센터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law.go.kr/lsLinkProc.do?chrClsCd=010202&amp;joLnkStr=%EC%A0%9C26%EC%A1%B0%EC%A0%9C5%ED%95%AD+%EB%98%90%EB%8A%94+%EC%A0%9C27%EC%A1%B0%EC%A0%9C3%ED%95%AD&amp;joNo=002600000%5E002700000&amp;lsId=011357&amp;lsNm=%EA%B0%9C%EC%9D%B8%EC%A0%95%EB%B3%B4+%EB%B3%B4%ED%98%B8%EB%B2%95&amp;mode=2&amp;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law.go.kr/LSW/lsLinkProc.do?efYd=20170718&amp;joNo=001700&amp;lnkJoNo=undefined&amp;lsClsCd=L&amp;lsId=prec20170718&amp;lsNm=%EC%A0%84%EC%9E%90%EC%83%81%EA%B1%B0%EB%9E%98+%EB%93%B1%EC%97%90%EC%84%9C%EC%9D%98+%EC%86%8C%EB%B9%84%EC%9E%90%EB%B3%B4%ED%98%B8%EC%97%90+%EA%B4%80%ED%95%9C+%EB%B2%95%EB%A5%A0&amp;mode=11</w:t>
      </w:r>
    </w:p>
    <w:p>
      <w:pPr>
        <w:pStyle w:val="BodyText"/>
      </w:pPr>
      <w:hyperlink r:id="rId28">
        <w:r>
          <w:rPr>
            <w:rStyle w:val="Hyperlink"/>
          </w:rPr>
          <w:t xml:space="preserve">https://law.go.kr/LSW/lsLinkProc.do?efYd=20170718&amp;joNo=001700&amp;lnkJoNo=undefined&amp;lsClsCd=L&amp;lsId=prec20170718&amp;lsNm=%EC%A0%84%EC%9E%90%EC%83%81%EA%B1%B0%EB%9E%98+%EB%93%B1%EC%97%90%EC%84%9C%EC%9D%98+%EC%86%8C%EB%B9%84%EC%9E%90%EB%B3%B4%ED%98%B8%EC%97%90+%EA%B4%80%ED%95%9C+%EB%B2%95%EB%A5%A0&amp;mode=11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[47]</w:t>
        </w:r>
      </w:hyperlink>
      <w:r>
        <w:t xml:space="preserve"> </w:t>
      </w:r>
      <w:hyperlink r:id="rId30">
        <w:r>
          <w:rPr>
            <w:rStyle w:val="Hyperlink"/>
          </w:rPr>
          <w:t xml:space="preserve">[62]</w:t>
        </w:r>
      </w:hyperlink>
      <w:r>
        <w:t xml:space="preserve"> </w:t>
      </w:r>
      <w:hyperlink r:id="rId30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조문정보 | 국가법령정보센터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https://www.law.go.kr/LSW//lsLawLinkInfo.do?chrClsCd=010202&amp;lsJoLnkSeq=900079620&amp;utm_source=chatgpt.com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https://www.law.go.kr/lsLinkProc.do?efYd=20170407&amp;joNo=002200&amp;lnkJoNo=undefined&amp;lsClsCd=L&amp;lsId=prec20170407&amp;lsNm=%EA%B0%9C%EC%9D%B8%EC%A0%95%EB%B3%B4+%EB%B3%B4%ED%98%B8%EB%B2%95&amp;mode=11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https://www.law.go.kr/lsLinkProc.do?efYd=20170407&amp;joNo=002200&amp;lnkJoNo=undefined&amp;lsClsCd=L&amp;lsId=prec20170407&amp;lsNm=%EA%B0%9C%EC%9D%B8%EC%A0%95%EB%B3%B4+%EB%B3%B4%ED%98%B8%EB%B2%95&amp;mode=11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[35]</w:t>
        </w:r>
      </w:hyperlink>
      <w:r>
        <w:t xml:space="preserve"> </w:t>
      </w:r>
      <w:hyperlink r:id="rId32">
        <w:r>
          <w:rPr>
            <w:rStyle w:val="Hyperlink"/>
          </w:rPr>
          <w:t xml:space="preserve">[55]</w:t>
        </w:r>
      </w:hyperlink>
      <w:r>
        <w:t xml:space="preserve"> </w:t>
      </w:r>
      <w:hyperlink r:id="rId32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https://www.law.go.kr/lsLawLinkInfo.do?chrClsCd=010202&amp;lsJoLnkSeq=900078309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https://www.law.go.kr/lsLawLinkInfo.do?chrClsCd=010202&amp;lsJoLnkSeq=900078309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개인정보 보호법 제17조(개인정보의 제공)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https://www.law.go.kr/lsLawLinkInfo.do?chrClsCd=010202&amp;lsJoLnkSeq=900078379&amp;utm_source=chatgpt.com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4">
        <w:r>
          <w:rPr>
            <w:rStyle w:val="Hyperlink"/>
          </w:rPr>
          <w:t xml:space="preserve">[50]</w:t>
        </w:r>
      </w:hyperlink>
      <w:r>
        <w:t xml:space="preserve"> </w:t>
      </w:r>
      <w:hyperlink r:id="rId34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https://www.pipc.go.kr/np/cop/bbs/selectBoardArticle.do%3Bjsessionid%3Dfp1f2YNkAzXDgWDaLkYIz2ig.pips_home_jboss21?bbsId=BS292&amp;mCode=I040010000&amp;nttId=10972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https://www.pipc.go.kr/np/cop/bbs/selectBoardArticle.do%3Bjsessionid%3Dfp1f2YNkAzXDgWDaLkYIz2ig.pips_home_jboss21?bbsId=BS292&amp;mCode=I040010000&amp;nttId=10972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개인정보 보호법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https://www.law.go.kr/LSW//lsLinkCommonInfo.do?ancYnChk=&amp;chrClsCd=010202&amp;lsJoLnkSeq=1020398435&amp;utm_source=chatgpt.com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hyperlink r:id="rId36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https://www.law.go.kr/LSW//lsLinkCommonInfo.do?ancYnChk=&amp;chrClsCd=010202&amp;lsJoLnkSeq=1020398651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https://www.law.go.kr/LSW//lsLinkCommonInfo.do?ancYnChk=&amp;chrClsCd=010202&amp;lsJoLnkSeq=1020398651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[21]</w:t>
        </w:r>
      </w:hyperlink>
      <w:r>
        <w:t xml:space="preserve"> </w:t>
      </w:r>
      <w:hyperlink r:id="rId37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개인정보 보호법 시행령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https://www.law.go.kr/LSW/lsLinkCommonInfo.do?chrClsCd=010202&amp;lspttninfSeq=66999&amp;utm_source=chatgpt.com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hyperlink r:id="rId38">
        <w:r>
          <w:rPr>
            <w:rStyle w:val="Hyperlink"/>
          </w:rPr>
          <w:t xml:space="preserve">[75]</w:t>
        </w:r>
      </w:hyperlink>
      <w:r>
        <w:t xml:space="preserve"> </w:t>
      </w:r>
      <w:hyperlink r:id="rId38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한국인공지능·소프트웨어산업협회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https://www.sw.or.kr/site/sw/ex/poll/PollUserFForm.do?plIdx=PL00000177&amp;utm_source=chatgpt.com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[24]</w:t>
        </w:r>
      </w:hyperlink>
      <w:r>
        <w:t xml:space="preserve"> </w:t>
      </w:r>
      <w:hyperlink r:id="rId39">
        <w:r>
          <w:rPr>
            <w:rStyle w:val="Hyperlink"/>
          </w:rPr>
          <w:t xml:space="preserve">[31]</w:t>
        </w:r>
      </w:hyperlink>
      <w:r>
        <w:t xml:space="preserve"> </w:t>
      </w:r>
      <w:hyperlink r:id="rId39">
        <w:r>
          <w:rPr>
            <w:rStyle w:val="Hyperlink"/>
          </w:rPr>
          <w:t xml:space="preserve">[43]</w:t>
        </w:r>
      </w:hyperlink>
      <w:r>
        <w:t xml:space="preserve"> </w:t>
      </w:r>
      <w:hyperlink r:id="rId39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조문정보 | 국가법령정보센터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https://www.law.go.kr/lsLawLinkInfo.do?chrClsCd=010202&amp;lsJoLnkSeq=900518969&amp;utm_source=chatgpt.com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[25]</w:t>
        </w:r>
      </w:hyperlink>
      <w:r>
        <w:t xml:space="preserve"> </w:t>
      </w:r>
      <w:hyperlink r:id="rId4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제56조(의료광고의 금지 등)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https://www.law.go.kr/LSW//lsLawLinkInfo.do?chrClsCd=010202&amp;lsId=001788&amp;lsJoLnkSeq=900350305&amp;print=print&amp;utm_source=chatgpt.com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[26]</w:t>
        </w:r>
      </w:hyperlink>
      <w:r>
        <w:t xml:space="preserve"> </w:t>
      </w:r>
      <w:hyperlink r:id="rId41">
        <w:r>
          <w:rPr>
            <w:rStyle w:val="Hyperlink"/>
          </w:rPr>
          <w:t xml:space="preserve">[32]</w:t>
        </w:r>
      </w:hyperlink>
      <w:r>
        <w:t xml:space="preserve"> </w:t>
      </w:r>
      <w:hyperlink r:id="rId41">
        <w:r>
          <w:rPr>
            <w:rStyle w:val="Hyperlink"/>
          </w:rPr>
          <w:t xml:space="preserve">[46]</w:t>
        </w:r>
      </w:hyperlink>
      <w:r>
        <w:t xml:space="preserve"> </w:t>
      </w:r>
      <w:hyperlink r:id="rId41">
        <w:r>
          <w:rPr>
            <w:rStyle w:val="Hyperlink"/>
          </w:rPr>
          <w:t xml:space="preserve">[71]</w:t>
        </w:r>
      </w:hyperlink>
      <w:r>
        <w:t xml:space="preserve"> </w:t>
      </w:r>
      <w:hyperlink r:id="rId41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만성질환자의 일상 속 건강관리서비스 활성화</w:t>
      </w:r>
    </w:p>
    <w:p>
      <w:pPr>
        <w:pStyle w:val="BodyText"/>
      </w:pPr>
      <w:hyperlink r:id="rId41">
        <w:r>
          <w:rPr>
            <w:rStyle w:val="Hyperlink"/>
          </w:rPr>
          <w:t xml:space="preserve">https://kiri.or.kr/PDF/weeklytrend/20220913/trend20220913_3.pdf?utm_source=chatgpt.com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[27]</w:t>
        </w:r>
      </w:hyperlink>
      <w:r>
        <w:t xml:space="preserve"> </w:t>
      </w:r>
      <w:hyperlink r:id="rId42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https://www.law.go.kr/LSW/lsLawLinkInfo.do?chrClsCd=010202&amp;lsJoLnkSeq=900554254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https://www.law.go.kr/LSW/lsLawLinkInfo.do?chrClsCd=010202&amp;lsJoLnkSeq=900554254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[28]</w:t>
        </w:r>
      </w:hyperlink>
      <w:r>
        <w:t xml:space="preserve"> </w:t>
      </w:r>
      <w:hyperlink r:id="rId43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https://www.law.go.kr/LSW//lsInfoP.do?ancYnChk=0&amp;chrClsCd=010202&amp;efYd=20240209&amp;joNo=000600&amp;lsiSeq=260031&amp;urlMode=lsInfoP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https://www.law.go.kr/LSW//lsInfoP.do?ancYnChk=0&amp;chrClsCd=010202&amp;efYd=20240209&amp;joNo=000600&amp;lsiSeq=260031&amp;urlMode=lsInfoP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[29]</w:t>
        </w:r>
      </w:hyperlink>
      <w:r>
        <w:t xml:space="preserve"> </w:t>
      </w:r>
      <w:hyperlink r:id="rId44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https://www.law.go.kr/lsLawLinkInfo.do?chrClsCd=010202&amp;lsJoLnkSeq=1000526556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https://www.law.go.kr/lsLawLinkInfo.do?chrClsCd=010202&amp;lsJoLnkSeq=1000526556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[30]</w:t>
        </w:r>
      </w:hyperlink>
      <w:r>
        <w:t xml:space="preserve"> </w:t>
      </w:r>
      <w:hyperlink r:id="rId4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https://www.law.go.kr/LSW//lsLawLinkInfo.do?chrClsCd=010202&amp;lsId=000030&amp;lsJoLnkSeq=900629639&amp;print=print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https://www.law.go.kr/LSW//lsLawLinkInfo.do?chrClsCd=010202&amp;lsId=000030&amp;lsJoLnkSeq=900629639&amp;print=print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https://www.mohw.go.kr/board.es?act=view&amp;bid=0027&amp;list_no=349488&amp;mid=a10503010100&amp;nPage=528&amp;tag=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https://www.mohw.go.kr/board.es?act=view&amp;bid=0027&amp;list_no=349488&amp;mid=a10503010100&amp;nPage=528&amp;tag=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[45]</w:t>
        </w:r>
      </w:hyperlink>
      <w:r>
        <w:t xml:space="preserve"> </w:t>
      </w:r>
      <w:hyperlink r:id="rId4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https://www.mohw.go.kr/menu.es?mid=a10706040100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https://www.mohw.go.kr/menu.es?mid=a10706040100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[52]</w:t>
        </w:r>
      </w:hyperlink>
      <w:r>
        <w:t xml:space="preserve"> </w:t>
      </w:r>
      <w:hyperlink r:id="rId58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개인정보보호위원회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https://www.pipc.go.kr/np/cop/bbs/selectBoardArticle.do?bbsId=BS074&amp;mCode=C020010000&amp;nttId=11410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[53]</w:t>
        </w:r>
      </w:hyperlink>
      <w:r>
        <w:t xml:space="preserve"> </w:t>
      </w:r>
      <w:hyperlink r:id="rId59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개인정보 보호법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https://www.law.go.kr/LSW//lsSideInfoP.do?docCls=jo&amp;joBrNo=02&amp;joNo=0028&amp;lsiSeq=270351&amp;urlMode=lsScJoRltInfoR&amp;utm_source=chatgpt.com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가명정보 처리 가이드라인(2024)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https://www.pipc.go.kr/np/cop/bbs/selectBoardArticle.do?bbsId=BS217&amp;mCode=D010030000&amp;nttId=9900&amp;utm_source=chatgpt.com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https://www.law.go.kr/LSW//lsLawLinkInfo.do?chrClsCd=010202&amp;lsJoLnkSeq=900079801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https://www.law.go.kr/LSW//lsLawLinkInfo.do?chrClsCd=010202&amp;lsJoLnkSeq=900079801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[64]</w:t>
        </w:r>
      </w:hyperlink>
      <w:r>
        <w:t xml:space="preserve"> </w:t>
      </w:r>
      <w:hyperlink r:id="rId69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https://www.mohw.go.kr/board.es?act=view&amp;bid=0027&amp;cg_code=&amp;list_no=1487674&amp;mid=a10503010000&amp;tag=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https://www.mohw.go.kr/board.es?act=view&amp;bid=0027&amp;cg_code=&amp;list_no=1487674&amp;mid=a10503010000&amp;tag=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https://www.mogef.go.kr/sp/hrp/sp_hrp_f004.do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https://www.mogef.go.kr/sp/hrp/sp_hrp_f004.do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비의료 건강관리서비스 가이드라인 및 사례집(2차)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https://www.mohw.go.kr/board.es?act=view&amp;bid=0026&amp;list_no=372814&amp;mid=a10409020000&amp;utm_source=chatgpt.com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https://spam.kisa.or.kr/spam/na/ntt/selectNttInfo.do?bbsId=1001&amp;mi=1019&amp;nttSn=1217</w:t>
      </w:r>
    </w:p>
    <w:p>
      <w:pPr>
        <w:pStyle w:val="BodyText"/>
      </w:pPr>
      <w:hyperlink r:id="rId79">
        <w:r>
          <w:rPr>
            <w:rStyle w:val="Hyperlink"/>
          </w:rPr>
          <w:t xml:space="preserve">https://spam.kisa.or.kr/spam/na/ntt/selectNttInfo.do?bbsId=1001&amp;mi=1019&amp;nttSn=1217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https://www.korea.kr/briefing/pressReleaseView.do?newsId=156740669</w:t>
      </w:r>
    </w:p>
    <w:p>
      <w:pPr>
        <w:pStyle w:val="BodyText"/>
      </w:pPr>
      <w:hyperlink r:id="rId80">
        <w:r>
          <w:rPr>
            <w:rStyle w:val="Hyperlink"/>
          </w:rPr>
          <w:t xml:space="preserve">https://www.korea.kr/briefing/pressReleaseView.do?newsId=156740669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https://emedi.mfds.go.kr/msismext/emd/bif/digitInfoIntrcnView.do</w:t>
      </w:r>
    </w:p>
    <w:p>
      <w:pPr>
        <w:pStyle w:val="BodyText"/>
      </w:pPr>
      <w:hyperlink r:id="rId81">
        <w:r>
          <w:rPr>
            <w:rStyle w:val="Hyperlink"/>
          </w:rPr>
          <w:t xml:space="preserve">https://emedi.mfds.go.kr/msismext/emd/bif/digitInfoIntrcnView.do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[86]</w:t>
        </w:r>
      </w:hyperlink>
      <w:r>
        <w:t xml:space="preserve"> </w:t>
      </w:r>
      <w:hyperlink r:id="rId82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https://www.mogef.go.kr/cc/wcc/cc_wcc_f001.do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https://www.mogef.go.kr/cc/wcc/cc_wcc_f001.do</w:t>
        </w:r>
      </w:hyperlink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emedi.mfds.go.kr/msismext/emd/bif/digitInfoIntrcnView.do" TargetMode="External" /><Relationship Type="http://schemas.openxmlformats.org/officeDocument/2006/relationships/hyperlink" Id="rId41" Target="https://kiri.or.kr/PDF/weeklytrend/20220913/trend20220913_3.pdf?utm_source=chatgpt.com" TargetMode="External" /><Relationship Type="http://schemas.openxmlformats.org/officeDocument/2006/relationships/hyperlink" Id="rId28" Target="https://law.go.kr/LSW/lsLinkProc.do?efYd=20170718&amp;joNo=001700&amp;lnkJoNo=undefined&amp;lsClsCd=L&amp;lsId=prec20170718&amp;lsNm=%EC%A0%84%EC%9E%90%EC%83%81%EA%B1%B0%EB%9E%98+%EB%93%B1%EC%97%90%EC%84%9C%EC%9D%98+%EC%86%8C%EB%B9%84%EC%9E%90%EB%B3%B4%ED%98%B8%EC%97%90+%EA%B4%80%ED%95%9C+%EB%B2%95%EB%A5%A0&amp;mode=11" TargetMode="External" /><Relationship Type="http://schemas.openxmlformats.org/officeDocument/2006/relationships/hyperlink" Id="rId79" Target="https://spam.kisa.or.kr/spam/na/ntt/selectNttInfo.do?bbsId=1001&amp;mi=1019&amp;nttSn=1217" TargetMode="External" /><Relationship Type="http://schemas.openxmlformats.org/officeDocument/2006/relationships/hyperlink" Id="rId80" Target="https://www.korea.kr/briefing/pressReleaseView.do?newsId=156740669" TargetMode="External" /><Relationship Type="http://schemas.openxmlformats.org/officeDocument/2006/relationships/hyperlink" Id="rId43" Target="https://www.law.go.kr/LSW//lsInfoP.do?ancYnChk=0&amp;chrClsCd=010202&amp;efYd=20240209&amp;joNo=000600&amp;lsiSeq=260031&amp;urlMode=lsInfoP" TargetMode="External" /><Relationship Type="http://schemas.openxmlformats.org/officeDocument/2006/relationships/hyperlink" Id="rId45" Target="https://www.law.go.kr/LSW//lsLawLinkInfo.do?chrClsCd=010202&amp;lsId=000030&amp;lsJoLnkSeq=900629639&amp;print=print" TargetMode="External" /><Relationship Type="http://schemas.openxmlformats.org/officeDocument/2006/relationships/hyperlink" Id="rId40" Target="https://www.law.go.kr/LSW//lsLawLinkInfo.do?chrClsCd=010202&amp;lsId=001788&amp;lsJoLnkSeq=900350305&amp;print=print&amp;utm_source=chatgpt.com" TargetMode="External" /><Relationship Type="http://schemas.openxmlformats.org/officeDocument/2006/relationships/hyperlink" Id="rId23" Target="https://www.law.go.kr/LSW//lsLawLinkInfo.do?chrClsCd=010202&amp;lsId=011357&amp;lsJoLnkSeq=1000089678&amp;print=print&amp;utm_source=chatgpt.com" TargetMode="External" /><Relationship Type="http://schemas.openxmlformats.org/officeDocument/2006/relationships/hyperlink" Id="rId22" Target="https://www.law.go.kr/LSW//lsLawLinkInfo.do?chrClsCd=010202&amp;lsJoLnkSeq=900079357&amp;utm_source=chatgpt.com" TargetMode="External" /><Relationship Type="http://schemas.openxmlformats.org/officeDocument/2006/relationships/hyperlink" Id="rId30" Target="https://www.law.go.kr/LSW//lsLawLinkInfo.do?chrClsCd=010202&amp;lsJoLnkSeq=900079620&amp;utm_source=chatgpt.com" TargetMode="External" /><Relationship Type="http://schemas.openxmlformats.org/officeDocument/2006/relationships/hyperlink" Id="rId66" Target="https://www.law.go.kr/LSW//lsLawLinkInfo.do?chrClsCd=010202&amp;lsJoLnkSeq=900079801" TargetMode="External" /><Relationship Type="http://schemas.openxmlformats.org/officeDocument/2006/relationships/hyperlink" Id="rId35" Target="https://www.law.go.kr/LSW//lsLinkCommonInfo.do?ancYnChk=&amp;chrClsCd=010202&amp;lsJoLnkSeq=1020398435&amp;utm_source=chatgpt.com" TargetMode="External" /><Relationship Type="http://schemas.openxmlformats.org/officeDocument/2006/relationships/hyperlink" Id="rId36" Target="https://www.law.go.kr/LSW//lsLinkCommonInfo.do?ancYnChk=&amp;chrClsCd=010202&amp;lsJoLnkSeq=1020398651" TargetMode="External" /><Relationship Type="http://schemas.openxmlformats.org/officeDocument/2006/relationships/hyperlink" Id="rId21" Target="https://www.law.go.kr/LSW//lsLinkCommonInfo.do?ancYnChk=&amp;chrClsCd=010202&amp;lsJoLnkSeq=1029335559&amp;utm_source=chatgpt.com" TargetMode="External" /><Relationship Type="http://schemas.openxmlformats.org/officeDocument/2006/relationships/hyperlink" Id="rId59" Target="https://www.law.go.kr/LSW//lsSideInfoP.do?docCls=jo&amp;joBrNo=02&amp;joNo=0028&amp;lsiSeq=270351&amp;urlMode=lsScJoRltInfoR&amp;utm_source=chatgpt.com" TargetMode="External" /><Relationship Type="http://schemas.openxmlformats.org/officeDocument/2006/relationships/hyperlink" Id="rId25" Target="https://www.law.go.kr/LSW/lsLawLinkInfo.do?chrClsCd=010202&amp;lsId=011357&amp;lsJoLnkSeq=900078940&amp;print=print&amp;utm_source=chatgpt.com" TargetMode="External" /><Relationship Type="http://schemas.openxmlformats.org/officeDocument/2006/relationships/hyperlink" Id="rId42" Target="https://www.law.go.kr/LSW/lsLawLinkInfo.do?chrClsCd=010202&amp;lsJoLnkSeq=900554254" TargetMode="External" /><Relationship Type="http://schemas.openxmlformats.org/officeDocument/2006/relationships/hyperlink" Id="rId37" Target="https://www.law.go.kr/LSW/lsLinkCommonInfo.do?chrClsCd=010202&amp;lspttninfSeq=66999&amp;utm_source=chatgpt.com" TargetMode="External" /><Relationship Type="http://schemas.openxmlformats.org/officeDocument/2006/relationships/hyperlink" Id="rId26" Target="https://www.law.go.kr/LSW/precInfoP.do?precSeq=197927" TargetMode="External" /><Relationship Type="http://schemas.openxmlformats.org/officeDocument/2006/relationships/hyperlink" Id="rId44" Target="https://www.law.go.kr/lsLawLinkInfo.do?chrClsCd=010202&amp;lsJoLnkSeq=1000526556" TargetMode="External" /><Relationship Type="http://schemas.openxmlformats.org/officeDocument/2006/relationships/hyperlink" Id="rId32" Target="https://www.law.go.kr/lsLawLinkInfo.do?chrClsCd=010202&amp;lsJoLnkSeq=900078309" TargetMode="External" /><Relationship Type="http://schemas.openxmlformats.org/officeDocument/2006/relationships/hyperlink" Id="rId33" Target="https://www.law.go.kr/lsLawLinkInfo.do?chrClsCd=010202&amp;lsJoLnkSeq=900078379&amp;utm_source=chatgpt.com" TargetMode="External" /><Relationship Type="http://schemas.openxmlformats.org/officeDocument/2006/relationships/hyperlink" Id="rId39" Target="https://www.law.go.kr/lsLawLinkInfo.do?chrClsCd=010202&amp;lsJoLnkSeq=900518969&amp;utm_source=chatgpt.com" TargetMode="External" /><Relationship Type="http://schemas.openxmlformats.org/officeDocument/2006/relationships/hyperlink" Id="rId27" Target="https://www.law.go.kr/lsLinkProc.do?chrClsCd=010202&amp;joLnkStr=%EC%A0%9C26%EC%A1%B0%EC%A0%9C5%ED%95%AD+%EB%98%90%EB%8A%94+%EC%A0%9C27%EC%A1%B0%EC%A0%9C3%ED%95%AD&amp;joNo=002600000%5E002700000&amp;lsId=011357&amp;lsNm=%EA%B0%9C%EC%9D%B8%EC%A0%95%EB%B3%B4+%EB%B3%B4%ED%98%B8%EB%B2%95&amp;mode=2&amp;utm_source=chatgpt.com" TargetMode="External" /><Relationship Type="http://schemas.openxmlformats.org/officeDocument/2006/relationships/hyperlink" Id="rId31" Target="https://www.law.go.kr/lsLinkProc.do?efYd=20170407&amp;joNo=002200&amp;lnkJoNo=undefined&amp;lsClsCd=L&amp;lsId=prec20170407&amp;lsNm=%EA%B0%9C%EC%9D%B8%EC%A0%95%EB%B3%B4+%EB%B3%B4%ED%98%B8%EB%B2%95&amp;mode=11" TargetMode="External" /><Relationship Type="http://schemas.openxmlformats.org/officeDocument/2006/relationships/hyperlink" Id="rId82" Target="https://www.mogef.go.kr/cc/wcc/cc_wcc_f001.do" TargetMode="External" /><Relationship Type="http://schemas.openxmlformats.org/officeDocument/2006/relationships/hyperlink" Id="rId70" Target="https://www.mogef.go.kr/sp/hrp/sp_hrp_f004.do" TargetMode="External" /><Relationship Type="http://schemas.openxmlformats.org/officeDocument/2006/relationships/hyperlink" Id="rId78" Target="https://www.mohw.go.kr/board.es?act=view&amp;bid=0026&amp;list_no=372814&amp;mid=a10409020000&amp;utm_source=chatgpt.com" TargetMode="External" /><Relationship Type="http://schemas.openxmlformats.org/officeDocument/2006/relationships/hyperlink" Id="rId69" Target="https://www.mohw.go.kr/board.es?act=view&amp;bid=0027&amp;cg_code=&amp;list_no=1487674&amp;mid=a10503010000&amp;tag=" TargetMode="External" /><Relationship Type="http://schemas.openxmlformats.org/officeDocument/2006/relationships/hyperlink" Id="rId47" Target="https://www.mohw.go.kr/board.es?act=view&amp;bid=0027&amp;list_no=349488&amp;mid=a10503010100&amp;nPage=528&amp;tag=" TargetMode="External" /><Relationship Type="http://schemas.openxmlformats.org/officeDocument/2006/relationships/hyperlink" Id="rId49" Target="https://www.mohw.go.kr/menu.es?mid=a10706040100" TargetMode="External" /><Relationship Type="http://schemas.openxmlformats.org/officeDocument/2006/relationships/hyperlink" Id="rId34" Target="https://www.pipc.go.kr/np/cop/bbs/selectBoardArticle.do%3Bjsessionid%3Dfp1f2YNkAzXDgWDaLkYIz2ig.pips_home_jboss21?bbsId=BS292&amp;mCode=I040010000&amp;nttId=10972" TargetMode="External" /><Relationship Type="http://schemas.openxmlformats.org/officeDocument/2006/relationships/hyperlink" Id="rId58" Target="https://www.pipc.go.kr/np/cop/bbs/selectBoardArticle.do?bbsId=BS074&amp;mCode=C020010000&amp;nttId=11410" TargetMode="External" /><Relationship Type="http://schemas.openxmlformats.org/officeDocument/2006/relationships/hyperlink" Id="rId60" Target="https://www.pipc.go.kr/np/cop/bbs/selectBoardArticle.do?bbsId=BS217&amp;mCode=D010030000&amp;nttId=9900&amp;utm_source=chatgpt.com" TargetMode="External" /><Relationship Type="http://schemas.openxmlformats.org/officeDocument/2006/relationships/hyperlink" Id="rId38" Target="https://www.sw.or.kr/site/sw/ex/poll/PollUserFForm.do?plIdx=PL00000177&amp;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emedi.mfds.go.kr/msismext/emd/bif/digitInfoIntrcnView.do" TargetMode="External" /><Relationship Type="http://schemas.openxmlformats.org/officeDocument/2006/relationships/hyperlink" Id="rId41" Target="https://kiri.or.kr/PDF/weeklytrend/20220913/trend20220913_3.pdf?utm_source=chatgpt.com" TargetMode="External" /><Relationship Type="http://schemas.openxmlformats.org/officeDocument/2006/relationships/hyperlink" Id="rId28" Target="https://law.go.kr/LSW/lsLinkProc.do?efYd=20170718&amp;joNo=001700&amp;lnkJoNo=undefined&amp;lsClsCd=L&amp;lsId=prec20170718&amp;lsNm=%EC%A0%84%EC%9E%90%EC%83%81%EA%B1%B0%EB%9E%98+%EB%93%B1%EC%97%90%EC%84%9C%EC%9D%98+%EC%86%8C%EB%B9%84%EC%9E%90%EB%B3%B4%ED%98%B8%EC%97%90+%EA%B4%80%ED%95%9C+%EB%B2%95%EB%A5%A0&amp;mode=11" TargetMode="External" /><Relationship Type="http://schemas.openxmlformats.org/officeDocument/2006/relationships/hyperlink" Id="rId79" Target="https://spam.kisa.or.kr/spam/na/ntt/selectNttInfo.do?bbsId=1001&amp;mi=1019&amp;nttSn=1217" TargetMode="External" /><Relationship Type="http://schemas.openxmlformats.org/officeDocument/2006/relationships/hyperlink" Id="rId80" Target="https://www.korea.kr/briefing/pressReleaseView.do?newsId=156740669" TargetMode="External" /><Relationship Type="http://schemas.openxmlformats.org/officeDocument/2006/relationships/hyperlink" Id="rId43" Target="https://www.law.go.kr/LSW//lsInfoP.do?ancYnChk=0&amp;chrClsCd=010202&amp;efYd=20240209&amp;joNo=000600&amp;lsiSeq=260031&amp;urlMode=lsInfoP" TargetMode="External" /><Relationship Type="http://schemas.openxmlformats.org/officeDocument/2006/relationships/hyperlink" Id="rId45" Target="https://www.law.go.kr/LSW//lsLawLinkInfo.do?chrClsCd=010202&amp;lsId=000030&amp;lsJoLnkSeq=900629639&amp;print=print" TargetMode="External" /><Relationship Type="http://schemas.openxmlformats.org/officeDocument/2006/relationships/hyperlink" Id="rId40" Target="https://www.law.go.kr/LSW//lsLawLinkInfo.do?chrClsCd=010202&amp;lsId=001788&amp;lsJoLnkSeq=900350305&amp;print=print&amp;utm_source=chatgpt.com" TargetMode="External" /><Relationship Type="http://schemas.openxmlformats.org/officeDocument/2006/relationships/hyperlink" Id="rId23" Target="https://www.law.go.kr/LSW//lsLawLinkInfo.do?chrClsCd=010202&amp;lsId=011357&amp;lsJoLnkSeq=1000089678&amp;print=print&amp;utm_source=chatgpt.com" TargetMode="External" /><Relationship Type="http://schemas.openxmlformats.org/officeDocument/2006/relationships/hyperlink" Id="rId22" Target="https://www.law.go.kr/LSW//lsLawLinkInfo.do?chrClsCd=010202&amp;lsJoLnkSeq=900079357&amp;utm_source=chatgpt.com" TargetMode="External" /><Relationship Type="http://schemas.openxmlformats.org/officeDocument/2006/relationships/hyperlink" Id="rId30" Target="https://www.law.go.kr/LSW//lsLawLinkInfo.do?chrClsCd=010202&amp;lsJoLnkSeq=900079620&amp;utm_source=chatgpt.com" TargetMode="External" /><Relationship Type="http://schemas.openxmlformats.org/officeDocument/2006/relationships/hyperlink" Id="rId66" Target="https://www.law.go.kr/LSW//lsLawLinkInfo.do?chrClsCd=010202&amp;lsJoLnkSeq=900079801" TargetMode="External" /><Relationship Type="http://schemas.openxmlformats.org/officeDocument/2006/relationships/hyperlink" Id="rId35" Target="https://www.law.go.kr/LSW//lsLinkCommonInfo.do?ancYnChk=&amp;chrClsCd=010202&amp;lsJoLnkSeq=1020398435&amp;utm_source=chatgpt.com" TargetMode="External" /><Relationship Type="http://schemas.openxmlformats.org/officeDocument/2006/relationships/hyperlink" Id="rId36" Target="https://www.law.go.kr/LSW//lsLinkCommonInfo.do?ancYnChk=&amp;chrClsCd=010202&amp;lsJoLnkSeq=1020398651" TargetMode="External" /><Relationship Type="http://schemas.openxmlformats.org/officeDocument/2006/relationships/hyperlink" Id="rId21" Target="https://www.law.go.kr/LSW//lsLinkCommonInfo.do?ancYnChk=&amp;chrClsCd=010202&amp;lsJoLnkSeq=1029335559&amp;utm_source=chatgpt.com" TargetMode="External" /><Relationship Type="http://schemas.openxmlformats.org/officeDocument/2006/relationships/hyperlink" Id="rId59" Target="https://www.law.go.kr/LSW//lsSideInfoP.do?docCls=jo&amp;joBrNo=02&amp;joNo=0028&amp;lsiSeq=270351&amp;urlMode=lsScJoRltInfoR&amp;utm_source=chatgpt.com" TargetMode="External" /><Relationship Type="http://schemas.openxmlformats.org/officeDocument/2006/relationships/hyperlink" Id="rId25" Target="https://www.law.go.kr/LSW/lsLawLinkInfo.do?chrClsCd=010202&amp;lsId=011357&amp;lsJoLnkSeq=900078940&amp;print=print&amp;utm_source=chatgpt.com" TargetMode="External" /><Relationship Type="http://schemas.openxmlformats.org/officeDocument/2006/relationships/hyperlink" Id="rId42" Target="https://www.law.go.kr/LSW/lsLawLinkInfo.do?chrClsCd=010202&amp;lsJoLnkSeq=900554254" TargetMode="External" /><Relationship Type="http://schemas.openxmlformats.org/officeDocument/2006/relationships/hyperlink" Id="rId37" Target="https://www.law.go.kr/LSW/lsLinkCommonInfo.do?chrClsCd=010202&amp;lspttninfSeq=66999&amp;utm_source=chatgpt.com" TargetMode="External" /><Relationship Type="http://schemas.openxmlformats.org/officeDocument/2006/relationships/hyperlink" Id="rId26" Target="https://www.law.go.kr/LSW/precInfoP.do?precSeq=197927" TargetMode="External" /><Relationship Type="http://schemas.openxmlformats.org/officeDocument/2006/relationships/hyperlink" Id="rId44" Target="https://www.law.go.kr/lsLawLinkInfo.do?chrClsCd=010202&amp;lsJoLnkSeq=1000526556" TargetMode="External" /><Relationship Type="http://schemas.openxmlformats.org/officeDocument/2006/relationships/hyperlink" Id="rId32" Target="https://www.law.go.kr/lsLawLinkInfo.do?chrClsCd=010202&amp;lsJoLnkSeq=900078309" TargetMode="External" /><Relationship Type="http://schemas.openxmlformats.org/officeDocument/2006/relationships/hyperlink" Id="rId33" Target="https://www.law.go.kr/lsLawLinkInfo.do?chrClsCd=010202&amp;lsJoLnkSeq=900078379&amp;utm_source=chatgpt.com" TargetMode="External" /><Relationship Type="http://schemas.openxmlformats.org/officeDocument/2006/relationships/hyperlink" Id="rId39" Target="https://www.law.go.kr/lsLawLinkInfo.do?chrClsCd=010202&amp;lsJoLnkSeq=900518969&amp;utm_source=chatgpt.com" TargetMode="External" /><Relationship Type="http://schemas.openxmlformats.org/officeDocument/2006/relationships/hyperlink" Id="rId27" Target="https://www.law.go.kr/lsLinkProc.do?chrClsCd=010202&amp;joLnkStr=%EC%A0%9C26%EC%A1%B0%EC%A0%9C5%ED%95%AD+%EB%98%90%EB%8A%94+%EC%A0%9C27%EC%A1%B0%EC%A0%9C3%ED%95%AD&amp;joNo=002600000%5E002700000&amp;lsId=011357&amp;lsNm=%EA%B0%9C%EC%9D%B8%EC%A0%95%EB%B3%B4+%EB%B3%B4%ED%98%B8%EB%B2%95&amp;mode=2&amp;utm_source=chatgpt.com" TargetMode="External" /><Relationship Type="http://schemas.openxmlformats.org/officeDocument/2006/relationships/hyperlink" Id="rId31" Target="https://www.law.go.kr/lsLinkProc.do?efYd=20170407&amp;joNo=002200&amp;lnkJoNo=undefined&amp;lsClsCd=L&amp;lsId=prec20170407&amp;lsNm=%EA%B0%9C%EC%9D%B8%EC%A0%95%EB%B3%B4+%EB%B3%B4%ED%98%B8%EB%B2%95&amp;mode=11" TargetMode="External" /><Relationship Type="http://schemas.openxmlformats.org/officeDocument/2006/relationships/hyperlink" Id="rId82" Target="https://www.mogef.go.kr/cc/wcc/cc_wcc_f001.do" TargetMode="External" /><Relationship Type="http://schemas.openxmlformats.org/officeDocument/2006/relationships/hyperlink" Id="rId70" Target="https://www.mogef.go.kr/sp/hrp/sp_hrp_f004.do" TargetMode="External" /><Relationship Type="http://schemas.openxmlformats.org/officeDocument/2006/relationships/hyperlink" Id="rId78" Target="https://www.mohw.go.kr/board.es?act=view&amp;bid=0026&amp;list_no=372814&amp;mid=a10409020000&amp;utm_source=chatgpt.com" TargetMode="External" /><Relationship Type="http://schemas.openxmlformats.org/officeDocument/2006/relationships/hyperlink" Id="rId69" Target="https://www.mohw.go.kr/board.es?act=view&amp;bid=0027&amp;cg_code=&amp;list_no=1487674&amp;mid=a10503010000&amp;tag=" TargetMode="External" /><Relationship Type="http://schemas.openxmlformats.org/officeDocument/2006/relationships/hyperlink" Id="rId47" Target="https://www.mohw.go.kr/board.es?act=view&amp;bid=0027&amp;list_no=349488&amp;mid=a10503010100&amp;nPage=528&amp;tag=" TargetMode="External" /><Relationship Type="http://schemas.openxmlformats.org/officeDocument/2006/relationships/hyperlink" Id="rId49" Target="https://www.mohw.go.kr/menu.es?mid=a10706040100" TargetMode="External" /><Relationship Type="http://schemas.openxmlformats.org/officeDocument/2006/relationships/hyperlink" Id="rId34" Target="https://www.pipc.go.kr/np/cop/bbs/selectBoardArticle.do%3Bjsessionid%3Dfp1f2YNkAzXDgWDaLkYIz2ig.pips_home_jboss21?bbsId=BS292&amp;mCode=I040010000&amp;nttId=10972" TargetMode="External" /><Relationship Type="http://schemas.openxmlformats.org/officeDocument/2006/relationships/hyperlink" Id="rId58" Target="https://www.pipc.go.kr/np/cop/bbs/selectBoardArticle.do?bbsId=BS074&amp;mCode=C020010000&amp;nttId=11410" TargetMode="External" /><Relationship Type="http://schemas.openxmlformats.org/officeDocument/2006/relationships/hyperlink" Id="rId60" Target="https://www.pipc.go.kr/np/cop/bbs/selectBoardArticle.do?bbsId=BS217&amp;mCode=D010030000&amp;nttId=9900&amp;utm_source=chatgpt.com" TargetMode="External" /><Relationship Type="http://schemas.openxmlformats.org/officeDocument/2006/relationships/hyperlink" Id="rId38" Target="https://www.sw.or.kr/site/sw/ex/poll/PollUserFForm.do?plIdx=PL00000177&amp;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2026-02-12T02:01:56Z</dcterms:created>
  <dcterms:modified xsi:type="dcterms:W3CDTF">2026-02-12T02:01:56Z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