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96" w:rsidRPr="004A0C96" w:rsidRDefault="004A0C96" w:rsidP="004A0C96">
      <w:pPr>
        <w:rPr>
          <w:rFonts w:ascii="Arial" w:hAnsi="Arial" w:cs="Arial"/>
        </w:rPr>
      </w:pPr>
      <w:r w:rsidRPr="004A0C96">
        <w:rPr>
          <w:rFonts w:ascii="Arial" w:hAnsi="Arial" w:cs="Arial"/>
        </w:rPr>
        <w:t>Übungsaufgabe Entropie im Kurs DAML</w:t>
      </w:r>
    </w:p>
    <w:p w:rsidR="004A0C96" w:rsidRPr="004A0C96" w:rsidRDefault="004A0C96" w:rsidP="004A0C96">
      <w:pPr>
        <w:rPr>
          <w:rFonts w:ascii="Arial" w:hAnsi="Arial" w:cs="Arial"/>
        </w:rPr>
      </w:pPr>
    </w:p>
    <w:p w:rsidR="009125BC" w:rsidRPr="009125BC" w:rsidRDefault="006A10FE" w:rsidP="009125B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Sie </w:t>
      </w:r>
      <w:r w:rsidR="009125BC" w:rsidRPr="009125BC">
        <w:rPr>
          <w:rFonts w:ascii="Arial" w:hAnsi="Arial" w:cs="Arial"/>
        </w:rPr>
        <w:t>Sie möchten anhand von Merkmalen von Kreditnehmern vorhersagen, ob ein Kredit ausfallen wird oder nicht. Untersuchen Sie, ob das Merkmal </w:t>
      </w:r>
      <w:r w:rsidR="009125BC" w:rsidRPr="00C967D9">
        <w:rPr>
          <w:rFonts w:ascii="Arial" w:hAnsi="Arial" w:cs="Arial"/>
          <w:bCs/>
        </w:rPr>
        <w:t>„Saldo ≥ 50.000 Euro“</w:t>
      </w:r>
      <w:r w:rsidR="009125BC" w:rsidRPr="009125BC">
        <w:rPr>
          <w:rFonts w:ascii="Arial" w:hAnsi="Arial" w:cs="Arial"/>
        </w:rPr>
        <w:t> ein geeigneter Startpunkt für den Aufbau eines Entscheidungsbaums ist.</w:t>
      </w:r>
    </w:p>
    <w:p w:rsidR="009125BC" w:rsidRPr="009125BC" w:rsidRDefault="009125BC" w:rsidP="009125BC">
      <w:pPr>
        <w:ind w:left="502"/>
        <w:rPr>
          <w:rFonts w:ascii="Arial" w:hAnsi="Arial" w:cs="Arial"/>
        </w:rPr>
      </w:pPr>
      <w:r w:rsidRPr="00C967D9">
        <w:rPr>
          <w:rFonts w:ascii="Arial" w:hAnsi="Arial" w:cs="Arial"/>
          <w:bCs/>
        </w:rPr>
        <w:t>Gegeben</w:t>
      </w:r>
      <w:r w:rsidR="00C967D9">
        <w:rPr>
          <w:rFonts w:ascii="Arial" w:hAnsi="Arial" w:cs="Arial"/>
          <w:bCs/>
        </w:rPr>
        <w:t xml:space="preserve">, </w:t>
      </w:r>
      <w:r w:rsidR="00C967D9" w:rsidRPr="00C967D9">
        <w:rPr>
          <w:rFonts w:ascii="Arial" w:hAnsi="Arial" w:cs="Arial"/>
          <w:bCs/>
        </w:rPr>
        <w:t>bereits ausgezählt</w:t>
      </w:r>
      <w:r w:rsidR="001F19FE">
        <w:rPr>
          <w:rFonts w:ascii="Arial" w:hAnsi="Arial" w:cs="Arial"/>
          <w:bCs/>
        </w:rPr>
        <w:t>,</w:t>
      </w:r>
      <w:r w:rsidRPr="00C967D9">
        <w:rPr>
          <w:rFonts w:ascii="Arial" w:hAnsi="Arial" w:cs="Arial"/>
          <w:bCs/>
        </w:rPr>
        <w:t xml:space="preserve"> sind :</w:t>
      </w:r>
      <w:r>
        <w:rPr>
          <w:rFonts w:ascii="Arial" w:hAnsi="Arial" w:cs="Arial"/>
          <w:b/>
          <w:bCs/>
        </w:rPr>
        <w:t xml:space="preserve"> </w:t>
      </w:r>
      <w:r w:rsidRPr="009125BC">
        <w:rPr>
          <w:rFonts w:ascii="Arial" w:hAnsi="Arial" w:cs="Arial"/>
        </w:rPr>
        <w:t>Anzahl Kunden</w:t>
      </w:r>
      <w:r>
        <w:rPr>
          <w:rFonts w:ascii="Arial" w:hAnsi="Arial" w:cs="Arial"/>
        </w:rPr>
        <w:t xml:space="preserve">, </w:t>
      </w:r>
      <w:r w:rsidRPr="009125BC">
        <w:rPr>
          <w:rFonts w:ascii="Arial" w:hAnsi="Arial" w:cs="Arial"/>
        </w:rPr>
        <w:t>Anzahl bekannte</w:t>
      </w:r>
      <w:r w:rsidR="00DE3191">
        <w:rPr>
          <w:rFonts w:ascii="Arial" w:hAnsi="Arial" w:cs="Arial"/>
        </w:rPr>
        <w:t>r</w:t>
      </w:r>
      <w:r w:rsidRPr="009125BC">
        <w:rPr>
          <w:rFonts w:ascii="Arial" w:hAnsi="Arial" w:cs="Arial"/>
        </w:rPr>
        <w:t xml:space="preserve"> Kreditausfälle</w:t>
      </w:r>
      <w:r>
        <w:rPr>
          <w:rFonts w:ascii="Arial" w:hAnsi="Arial" w:cs="Arial"/>
        </w:rPr>
        <w:t xml:space="preserve"> </w:t>
      </w:r>
      <w:r w:rsidRPr="009125BC">
        <w:rPr>
          <w:rFonts w:ascii="Arial" w:hAnsi="Arial" w:cs="Arial"/>
          <w:noProof/>
        </w:rPr>
        <w:drawing>
          <wp:inline distT="0" distB="0" distL="0" distR="0" wp14:anchorId="3026BF2A" wp14:editId="2F967F6C">
            <wp:extent cx="148925" cy="169049"/>
            <wp:effectExtent l="0" t="0" r="381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412" cy="1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7D9">
        <w:rPr>
          <w:rFonts w:ascii="Arial" w:hAnsi="Arial" w:cs="Arial"/>
        </w:rPr>
        <w:t>, A</w:t>
      </w:r>
      <w:r w:rsidRPr="009125BC">
        <w:rPr>
          <w:rFonts w:ascii="Arial" w:hAnsi="Arial" w:cs="Arial"/>
        </w:rPr>
        <w:t>nzahl der Rückzahler</w:t>
      </w:r>
      <w:r>
        <w:rPr>
          <w:rFonts w:ascii="Arial" w:hAnsi="Arial" w:cs="Arial"/>
        </w:rPr>
        <w:t xml:space="preserve"> </w:t>
      </w:r>
      <w:r w:rsidRPr="009125BC">
        <w:rPr>
          <w:rFonts w:ascii="Arial" w:hAnsi="Arial" w:cs="Arial"/>
          <w:noProof/>
        </w:rPr>
        <w:drawing>
          <wp:inline distT="0" distB="0" distL="0" distR="0" wp14:anchorId="7B5B1917" wp14:editId="70DE7FC3">
            <wp:extent cx="147856" cy="152785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911" cy="15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5BC" w:rsidRPr="00C967D9" w:rsidRDefault="009125BC" w:rsidP="009125BC">
      <w:pPr>
        <w:ind w:left="502"/>
        <w:rPr>
          <w:rFonts w:ascii="Arial" w:hAnsi="Arial" w:cs="Arial"/>
        </w:rPr>
      </w:pPr>
      <w:r w:rsidRPr="00C967D9">
        <w:rPr>
          <w:rFonts w:ascii="Arial" w:hAnsi="Arial" w:cs="Arial"/>
          <w:bCs/>
        </w:rPr>
        <w:t>Berechnen Sie den Informationsgewinn (IG)</w:t>
      </w:r>
      <w:r w:rsidRPr="00C967D9">
        <w:rPr>
          <w:rFonts w:ascii="Arial" w:hAnsi="Arial" w:cs="Arial"/>
        </w:rPr>
        <w:t>,</w:t>
      </w:r>
      <w:r w:rsidRPr="009125BC">
        <w:rPr>
          <w:rFonts w:ascii="Arial" w:hAnsi="Arial" w:cs="Arial"/>
        </w:rPr>
        <w:t xml:space="preserve"> der sich ergibt, wenn die Grundgesamtheit anhand des Merkmals </w:t>
      </w:r>
      <w:r w:rsidRPr="00C967D9">
        <w:rPr>
          <w:rFonts w:ascii="Arial" w:hAnsi="Arial" w:cs="Arial"/>
          <w:bCs/>
        </w:rPr>
        <w:t>„Saldo &lt; 50.000 Euro“</w:t>
      </w:r>
      <w:r w:rsidRPr="00C967D9">
        <w:rPr>
          <w:rFonts w:ascii="Arial" w:hAnsi="Arial" w:cs="Arial"/>
        </w:rPr>
        <w:t> und </w:t>
      </w:r>
      <w:r w:rsidRPr="00C967D9">
        <w:rPr>
          <w:rFonts w:ascii="Arial" w:hAnsi="Arial" w:cs="Arial"/>
          <w:bCs/>
        </w:rPr>
        <w:t>„Saldo ≥ 50.000 Euro“</w:t>
      </w:r>
      <w:r w:rsidRPr="00C967D9">
        <w:rPr>
          <w:rFonts w:ascii="Arial" w:hAnsi="Arial" w:cs="Arial"/>
        </w:rPr>
        <w:t> aufgeteilt wird.</w:t>
      </w:r>
    </w:p>
    <w:p w:rsidR="009125BC" w:rsidRPr="00C967D9" w:rsidRDefault="009125BC" w:rsidP="009125BC">
      <w:pPr>
        <w:ind w:left="502"/>
        <w:rPr>
          <w:rFonts w:ascii="Arial" w:hAnsi="Arial" w:cs="Arial"/>
        </w:rPr>
      </w:pPr>
      <w:r w:rsidRPr="00C967D9">
        <w:rPr>
          <w:rFonts w:ascii="Arial" w:hAnsi="Arial" w:cs="Arial"/>
          <w:bCs/>
        </w:rPr>
        <w:t>Dokumentieren Sie jeden Zwischenschritt Ihrer Berechnung</w:t>
      </w:r>
      <w:r w:rsidR="00C967D9">
        <w:rPr>
          <w:rFonts w:ascii="Arial" w:hAnsi="Arial" w:cs="Arial"/>
          <w:bCs/>
        </w:rPr>
        <w:t>.</w:t>
      </w:r>
    </w:p>
    <w:p w:rsidR="009125BC" w:rsidRPr="00C967D9" w:rsidRDefault="009125BC" w:rsidP="009125BC">
      <w:pPr>
        <w:ind w:left="502"/>
        <w:rPr>
          <w:rFonts w:ascii="Arial" w:hAnsi="Arial" w:cs="Arial"/>
        </w:rPr>
      </w:pPr>
      <w:r w:rsidRPr="00C967D9">
        <w:rPr>
          <w:rFonts w:ascii="Arial" w:hAnsi="Arial" w:cs="Arial"/>
          <w:bCs/>
        </w:rPr>
        <w:t>Runden Sie alle Ergebnisse auf zwei Nachkommastellen.</w:t>
      </w:r>
    </w:p>
    <w:p w:rsidR="009125BC" w:rsidRPr="009125BC" w:rsidRDefault="009125BC" w:rsidP="009125BC">
      <w:pPr>
        <w:ind w:left="502"/>
        <w:rPr>
          <w:rFonts w:ascii="Arial" w:hAnsi="Arial" w:cs="Arial"/>
        </w:rPr>
      </w:pPr>
      <w:bookmarkStart w:id="0" w:name="_GoBack"/>
      <w:r w:rsidRPr="00C967D9">
        <w:rPr>
          <w:rFonts w:ascii="Arial" w:hAnsi="Arial" w:cs="Arial"/>
          <w:bCs/>
        </w:rPr>
        <w:t xml:space="preserve">Erklären Sie abschließend </w:t>
      </w:r>
      <w:r w:rsidR="00C967D9">
        <w:rPr>
          <w:rFonts w:ascii="Arial" w:hAnsi="Arial" w:cs="Arial"/>
          <w:bCs/>
        </w:rPr>
        <w:t>kurz</w:t>
      </w:r>
      <w:bookmarkEnd w:id="0"/>
      <w:r w:rsidRPr="00C967D9">
        <w:rPr>
          <w:rFonts w:ascii="Arial" w:hAnsi="Arial" w:cs="Arial"/>
        </w:rPr>
        <w:t>,</w:t>
      </w:r>
      <w:r w:rsidRPr="009125BC">
        <w:rPr>
          <w:rFonts w:ascii="Arial" w:hAnsi="Arial" w:cs="Arial"/>
        </w:rPr>
        <w:t xml:space="preserve"> warum ein hoher Informationsgewinn ein gutes Kriterium für die Auswahl eines Merkmals im Entscheidungsbaum ist.</w:t>
      </w:r>
    </w:p>
    <w:p w:rsidR="008723F1" w:rsidRDefault="008723F1" w:rsidP="008723F1">
      <w:pPr>
        <w:tabs>
          <w:tab w:val="left" w:pos="4962"/>
        </w:tabs>
        <w:rPr>
          <w:rFonts w:ascii="Arial" w:hAnsi="Arial" w:cs="Arial"/>
          <w:sz w:val="22"/>
          <w:szCs w:val="22"/>
        </w:rPr>
      </w:pPr>
    </w:p>
    <w:p w:rsidR="008723F1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>Hinweise:</w:t>
      </w:r>
    </w:p>
    <w:p w:rsidR="008723F1" w:rsidRDefault="008723F1" w:rsidP="008723F1">
      <w:pPr>
        <w:rPr>
          <w:rFonts w:ascii="Arial" w:hAnsi="Arial" w:cs="Arial"/>
        </w:rPr>
      </w:pPr>
      <w:r w:rsidRPr="00B944E6">
        <w:rPr>
          <w:rFonts w:ascii="Arial" w:hAnsi="Arial" w:cs="Arial"/>
        </w:rPr>
        <w:t xml:space="preserve">Entropie </w:t>
      </w:r>
      <w:r>
        <w:rPr>
          <w:rFonts w:ascii="Arial" w:hAnsi="Arial" w:cs="Arial"/>
        </w:rPr>
        <w:t xml:space="preserve">einer Menge </w:t>
      </w:r>
      <w:r w:rsidRPr="00B944E6">
        <w:rPr>
          <w:rFonts w:ascii="Arial" w:hAnsi="Arial" w:cs="Arial"/>
        </w:rPr>
        <w:t>= - p1 * log</w:t>
      </w:r>
      <w:r w:rsidRPr="00376EC3">
        <w:rPr>
          <w:rFonts w:ascii="Arial" w:hAnsi="Arial" w:cs="Arial"/>
          <w:vertAlign w:val="subscript"/>
        </w:rPr>
        <w:t>2</w:t>
      </w:r>
      <w:r w:rsidRPr="00B944E6">
        <w:rPr>
          <w:rFonts w:ascii="Arial" w:hAnsi="Arial" w:cs="Arial"/>
        </w:rPr>
        <w:t xml:space="preserve"> (p1) – p2 *  log</w:t>
      </w:r>
      <w:r w:rsidRPr="00376EC3">
        <w:rPr>
          <w:rFonts w:ascii="Arial" w:hAnsi="Arial" w:cs="Arial"/>
          <w:vertAlign w:val="subscript"/>
        </w:rPr>
        <w:t>2</w:t>
      </w:r>
      <w:r w:rsidRPr="00B944E6">
        <w:rPr>
          <w:rFonts w:ascii="Arial" w:hAnsi="Arial" w:cs="Arial"/>
        </w:rPr>
        <w:t xml:space="preserve"> (p2)</w:t>
      </w:r>
    </w:p>
    <w:p w:rsidR="008723F1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>mit p1 und p2 als die aus den Häufigkeiten je Klasse gewonnen Wahrscheinlichkeiten</w:t>
      </w:r>
      <w:r w:rsidR="00DE319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Entnehmen Sie </w:t>
      </w:r>
      <w:r w:rsidRPr="00B944E6">
        <w:rPr>
          <w:rFonts w:ascii="Arial" w:hAnsi="Arial" w:cs="Arial"/>
        </w:rPr>
        <w:t>log</w:t>
      </w:r>
      <w:r w:rsidRPr="00376EC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vertAlign w:val="subscript"/>
        </w:rPr>
        <w:t xml:space="preserve"> </w:t>
      </w:r>
      <w:r w:rsidRPr="008A2E67">
        <w:rPr>
          <w:rFonts w:ascii="Arial" w:hAnsi="Arial" w:cs="Arial"/>
        </w:rPr>
        <w:t>au</w:t>
      </w:r>
      <w:r>
        <w:rPr>
          <w:rFonts w:ascii="Arial" w:hAnsi="Arial" w:cs="Arial"/>
        </w:rPr>
        <w:t>s</w:t>
      </w:r>
      <w:r w:rsidRPr="008A2E67">
        <w:rPr>
          <w:rFonts w:ascii="Arial" w:hAnsi="Arial" w:cs="Arial"/>
        </w:rPr>
        <w:t xml:space="preserve"> der folgenden Tabelle.</w:t>
      </w:r>
    </w:p>
    <w:p w:rsidR="008723F1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>Informationsgewinn</w:t>
      </w:r>
      <w:r w:rsidR="00C96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="00C967D9">
        <w:rPr>
          <w:rFonts w:ascii="Arial" w:hAnsi="Arial" w:cs="Arial"/>
        </w:rPr>
        <w:t xml:space="preserve"> </w:t>
      </w:r>
      <w:r w:rsidRPr="00B944E6">
        <w:rPr>
          <w:rFonts w:ascii="Arial" w:hAnsi="Arial" w:cs="Arial"/>
        </w:rPr>
        <w:t>Entropie</w:t>
      </w:r>
      <w:r>
        <w:rPr>
          <w:rFonts w:ascii="Arial" w:hAnsi="Arial" w:cs="Arial"/>
        </w:rPr>
        <w:t xml:space="preserve"> (Grundgesamtheit) – </w:t>
      </w:r>
      <w:r w:rsidRPr="00B944E6">
        <w:rPr>
          <w:rFonts w:ascii="Arial" w:hAnsi="Arial" w:cs="Arial"/>
          <w:b/>
        </w:rPr>
        <w:t>(</w:t>
      </w:r>
      <w:r>
        <w:rPr>
          <w:rFonts w:ascii="Arial" w:hAnsi="Arial" w:cs="Arial"/>
        </w:rPr>
        <w:t xml:space="preserve"> (</w:t>
      </w:r>
      <w:r w:rsidRPr="00B944E6">
        <w:rPr>
          <w:rFonts w:ascii="Arial" w:hAnsi="Arial" w:cs="Arial"/>
        </w:rPr>
        <w:t>p1 *</w:t>
      </w:r>
      <w:r>
        <w:rPr>
          <w:rFonts w:ascii="Arial" w:hAnsi="Arial" w:cs="Arial"/>
        </w:rPr>
        <w:t xml:space="preserve"> </w:t>
      </w:r>
      <w:r w:rsidRPr="00B944E6">
        <w:rPr>
          <w:rFonts w:ascii="Arial" w:hAnsi="Arial" w:cs="Arial"/>
        </w:rPr>
        <w:t>Entropie</w:t>
      </w:r>
      <w:r>
        <w:rPr>
          <w:rFonts w:ascii="Arial" w:hAnsi="Arial" w:cs="Arial"/>
        </w:rPr>
        <w:t xml:space="preserve"> (c1) + (</w:t>
      </w:r>
      <w:r w:rsidRPr="00B944E6">
        <w:rPr>
          <w:rFonts w:ascii="Arial" w:hAnsi="Arial" w:cs="Arial"/>
        </w:rPr>
        <w:t>p</w:t>
      </w:r>
      <w:r>
        <w:rPr>
          <w:rFonts w:ascii="Arial" w:hAnsi="Arial" w:cs="Arial"/>
        </w:rPr>
        <w:t>2</w:t>
      </w:r>
      <w:r w:rsidRPr="00B944E6">
        <w:rPr>
          <w:rFonts w:ascii="Arial" w:hAnsi="Arial" w:cs="Arial"/>
        </w:rPr>
        <w:t xml:space="preserve"> *</w:t>
      </w:r>
      <w:r>
        <w:rPr>
          <w:rFonts w:ascii="Arial" w:hAnsi="Arial" w:cs="Arial"/>
        </w:rPr>
        <w:t xml:space="preserve"> </w:t>
      </w:r>
      <w:r w:rsidRPr="00B944E6">
        <w:rPr>
          <w:rFonts w:ascii="Arial" w:hAnsi="Arial" w:cs="Arial"/>
        </w:rPr>
        <w:t>Entropie</w:t>
      </w:r>
      <w:r>
        <w:rPr>
          <w:rFonts w:ascii="Arial" w:hAnsi="Arial" w:cs="Arial"/>
        </w:rPr>
        <w:t xml:space="preserve"> (c2) </w:t>
      </w:r>
      <w:r w:rsidRPr="00B944E6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</w:t>
      </w:r>
    </w:p>
    <w:p w:rsidR="008723F1" w:rsidRDefault="00DE3191" w:rsidP="008723F1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8723F1">
        <w:rPr>
          <w:rFonts w:ascii="Arial" w:hAnsi="Arial" w:cs="Arial"/>
        </w:rPr>
        <w:t xml:space="preserve">it p1, p2 als Anteil der Teilmenge </w:t>
      </w:r>
      <w:r w:rsidR="00C967D9">
        <w:rPr>
          <w:rFonts w:ascii="Arial" w:hAnsi="Arial" w:cs="Arial"/>
        </w:rPr>
        <w:t>c</w:t>
      </w:r>
      <w:r w:rsidR="008723F1">
        <w:rPr>
          <w:rFonts w:ascii="Arial" w:hAnsi="Arial" w:cs="Arial"/>
        </w:rPr>
        <w:t xml:space="preserve">1 und </w:t>
      </w:r>
      <w:r w:rsidR="00C967D9">
        <w:rPr>
          <w:rFonts w:ascii="Arial" w:hAnsi="Arial" w:cs="Arial"/>
        </w:rPr>
        <w:t>c</w:t>
      </w:r>
      <w:r w:rsidR="008723F1">
        <w:rPr>
          <w:rFonts w:ascii="Arial" w:hAnsi="Arial" w:cs="Arial"/>
        </w:rPr>
        <w:t>2 in Bezug auf die Mächtigkeit der Elternmenge.</w:t>
      </w:r>
    </w:p>
    <w:p w:rsidR="008723F1" w:rsidRDefault="008723F1" w:rsidP="008723F1">
      <w:pPr>
        <w:rPr>
          <w:rFonts w:ascii="Arial" w:hAnsi="Arial" w:cs="Arial"/>
        </w:rPr>
      </w:pPr>
    </w:p>
    <w:p w:rsidR="008723F1" w:rsidRDefault="008723F1" w:rsidP="008723F1">
      <w:pPr>
        <w:rPr>
          <w:rFonts w:ascii="Arial" w:hAnsi="Arial" w:cs="Arial"/>
        </w:rPr>
      </w:pPr>
    </w:p>
    <w:p w:rsidR="008723F1" w:rsidRDefault="004E28C8" w:rsidP="008723F1">
      <w:pPr>
        <w:rPr>
          <w:rFonts w:ascii="Arial" w:hAnsi="Arial" w:cs="Arial"/>
        </w:rPr>
      </w:pPr>
      <w:r>
        <w:rPr>
          <w:rFonts w:ascii="Arial" w:hAnsi="Arial" w:cs="Arial"/>
        </w:rPr>
        <w:t>Erreichbare Punktzahl: 16</w:t>
      </w:r>
    </w:p>
    <w:p w:rsidR="008723F1" w:rsidRDefault="008723F1" w:rsidP="008723F1">
      <w:pPr>
        <w:rPr>
          <w:rFonts w:ascii="Arial" w:hAnsi="Arial" w:cs="Arial"/>
        </w:rPr>
      </w:pPr>
    </w:p>
    <w:p w:rsidR="008723F1" w:rsidRPr="009C375F" w:rsidRDefault="004E28C8" w:rsidP="008723F1">
      <w:pPr>
        <w:tabs>
          <w:tab w:val="left" w:pos="567"/>
          <w:tab w:val="left" w:pos="48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567367" cy="3954937"/>
            <wp:effectExtent l="0" t="0" r="508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367" cy="39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F1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>Notieren Sie Ihre Antwort auf einem neuen Blatt.</w:t>
      </w:r>
    </w:p>
    <w:p w:rsidR="008723F1" w:rsidRDefault="008723F1" w:rsidP="008723F1">
      <w:pPr>
        <w:tabs>
          <w:tab w:val="left" w:pos="567"/>
          <w:tab w:val="left" w:pos="4820"/>
        </w:tabs>
        <w:jc w:val="both"/>
        <w:rPr>
          <w:rFonts w:ascii="Arial" w:hAnsi="Arial" w:cs="Arial"/>
          <w:sz w:val="20"/>
          <w:szCs w:val="20"/>
        </w:rPr>
      </w:pPr>
    </w:p>
    <w:p w:rsidR="008723F1" w:rsidRDefault="008723F1" w:rsidP="008723F1">
      <w:pPr>
        <w:rPr>
          <w:rFonts w:ascii="Arial" w:hAnsi="Arial" w:cs="Arial"/>
        </w:rPr>
      </w:pPr>
    </w:p>
    <w:tbl>
      <w:tblPr>
        <w:tblW w:w="77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200"/>
        <w:gridCol w:w="680"/>
        <w:gridCol w:w="840"/>
        <w:gridCol w:w="1200"/>
        <w:gridCol w:w="740"/>
        <w:gridCol w:w="920"/>
        <w:gridCol w:w="1200"/>
      </w:tblGrid>
      <w:tr w:rsidR="008723F1" w:rsidTr="007163A4">
        <w:trPr>
          <w:trHeight w:val="283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Pr="009C6106" w:rsidRDefault="008723F1" w:rsidP="007163A4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C610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Pr="009C6106" w:rsidRDefault="008723F1" w:rsidP="007163A4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C610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LOG Basis 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Pr="009C6106" w:rsidRDefault="008723F1" w:rsidP="007163A4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C610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Pr="009C6106" w:rsidRDefault="008723F1" w:rsidP="007163A4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C610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Pr="009C6106" w:rsidRDefault="008723F1" w:rsidP="007163A4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C610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LOG Basis 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Pr="009C6106" w:rsidRDefault="008723F1" w:rsidP="007163A4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C610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Pr="009C6106" w:rsidRDefault="008723F1" w:rsidP="007163A4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C610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Pr="009C6106" w:rsidRDefault="008723F1" w:rsidP="007163A4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C610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LOG Basis 2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-6,64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-0,58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-5,64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-1,51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-0,56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-5,06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-1,47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-0,54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-1,43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-0,51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-0,49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-4,06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-0,47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-3,84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-0,45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-1,29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-0,43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-3,47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-0,42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-0,40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-1,18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-0,38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-3,06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-0,36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-0,34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-2,84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-0,32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-2,74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-0,30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-0,29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-2,56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-0,27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-2,47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-0,97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-0,25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-0,94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-0,23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-0,22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-2,25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-0,20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-0,18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-0,17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-2,06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-0,15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-0,79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-0,14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-0,76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-0,12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-1,89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-0,74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-0,10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-1,84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-0,71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-0,09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-1,79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-0,07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-1,74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-0,06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-1,69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-0,04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-0,03</w:t>
            </w:r>
          </w:p>
        </w:tc>
      </w:tr>
      <w:tr w:rsidR="008723F1" w:rsidTr="007163A4">
        <w:trPr>
          <w:trHeight w:val="28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F1" w:rsidRDefault="008723F1" w:rsidP="007163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-0,01</w:t>
            </w:r>
          </w:p>
        </w:tc>
      </w:tr>
    </w:tbl>
    <w:p w:rsidR="008723F1" w:rsidRDefault="008723F1" w:rsidP="008723F1">
      <w:pPr>
        <w:rPr>
          <w:rFonts w:ascii="Arial" w:hAnsi="Arial" w:cs="Arial"/>
        </w:rPr>
      </w:pPr>
    </w:p>
    <w:p w:rsidR="008723F1" w:rsidRDefault="008723F1" w:rsidP="008723F1"/>
    <w:p w:rsidR="008723F1" w:rsidRDefault="008723F1" w:rsidP="008723F1"/>
    <w:p w:rsidR="008723F1" w:rsidRDefault="008723F1" w:rsidP="008723F1"/>
    <w:p w:rsidR="00D410D5" w:rsidRDefault="00D410D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723F1" w:rsidRDefault="008723F1" w:rsidP="008723F1">
      <w:pPr>
        <w:rPr>
          <w:rFonts w:ascii="Arial" w:hAnsi="Arial" w:cs="Arial"/>
        </w:rPr>
      </w:pPr>
      <w:r w:rsidRPr="004E512C">
        <w:rPr>
          <w:rFonts w:ascii="Arial" w:hAnsi="Arial" w:cs="Arial"/>
        </w:rPr>
        <w:lastRenderedPageBreak/>
        <w:t>Elternmenge:</w:t>
      </w:r>
    </w:p>
    <w:p w:rsidR="008723F1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>Gesamtanzahl 32</w:t>
      </w:r>
    </w:p>
    <w:p w:rsidR="008723F1" w:rsidRPr="004E512C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>21 Kreise, 11 Sterne -&gt; p(Kreise)=21/32=0,66 p(Sterne)=11/32=0,34</w:t>
      </w:r>
    </w:p>
    <w:p w:rsidR="008723F1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>Entropie (</w:t>
      </w:r>
      <w:r w:rsidRPr="004E512C">
        <w:rPr>
          <w:rFonts w:ascii="Arial" w:hAnsi="Arial" w:cs="Arial"/>
        </w:rPr>
        <w:t>Elternmenge</w:t>
      </w:r>
      <w:r>
        <w:rPr>
          <w:rFonts w:ascii="Arial" w:hAnsi="Arial" w:cs="Arial"/>
        </w:rPr>
        <w:t>) = - (0,66*(</w:t>
      </w:r>
      <w:r w:rsidRPr="00B93C93">
        <w:rPr>
          <w:rFonts w:ascii="Arial" w:hAnsi="Arial" w:cs="Arial"/>
        </w:rPr>
        <w:t>-0,</w:t>
      </w:r>
      <w:r>
        <w:rPr>
          <w:rFonts w:ascii="Arial" w:hAnsi="Arial" w:cs="Arial"/>
        </w:rPr>
        <w:t>60)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Arial" w:hAnsi="Arial" w:cs="Arial"/>
        </w:rPr>
        <w:t xml:space="preserve">+ 0,34*(-1,56)) </w:t>
      </w:r>
    </w:p>
    <w:p w:rsidR="008723F1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= -(-0,40          -0,53) = 0,93</w:t>
      </w:r>
    </w:p>
    <w:p w:rsidR="008723F1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>Teilmenge links:</w:t>
      </w:r>
    </w:p>
    <w:p w:rsidR="008723F1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>Anzahl 19</w:t>
      </w:r>
    </w:p>
    <w:p w:rsidR="008723F1" w:rsidRPr="004E512C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>15 Kreise, 4 Sterne -&gt; p(Kreise)=15/19=0,79, p(Sterne)=4/19=0,21</w:t>
      </w:r>
    </w:p>
    <w:p w:rsidR="008723F1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Entropie (Teilmenge 1) = - (0,79*-0,34 + 0,21* -2,25) </w:t>
      </w:r>
    </w:p>
    <w:p w:rsidR="008723F1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=- (-0,27           - 0,47) = 0,74</w:t>
      </w:r>
    </w:p>
    <w:p w:rsidR="008723F1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</w:p>
    <w:p w:rsidR="008723F1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>Teilmenge rechts:</w:t>
      </w:r>
    </w:p>
    <w:p w:rsidR="008723F1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>Anzahl 13</w:t>
      </w:r>
    </w:p>
    <w:p w:rsidR="008723F1" w:rsidRPr="004E512C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>2 Kreise, 11 Sterne -&gt; p(Kreise)=2/13=0,15, p(Sterne)=11/13=0,85</w:t>
      </w:r>
    </w:p>
    <w:p w:rsidR="008723F1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Entropie (Teilmenge 2) = - (0,15*-2,74 + 0,85* -0,23) </w:t>
      </w:r>
    </w:p>
    <w:p w:rsidR="008723F1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= - (-0,41 – 0,20) = 0,61</w:t>
      </w:r>
    </w:p>
    <w:p w:rsidR="008723F1" w:rsidRDefault="008723F1" w:rsidP="008723F1">
      <w:pPr>
        <w:rPr>
          <w:rFonts w:ascii="Arial" w:hAnsi="Arial" w:cs="Arial"/>
        </w:rPr>
      </w:pPr>
    </w:p>
    <w:p w:rsidR="008723F1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>Wahrscheinlichkeiten der Aufteilung in Teilmenge 1 und 2:</w:t>
      </w:r>
    </w:p>
    <w:p w:rsidR="008723F1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>P1 = 19/32 = 0,59</w:t>
      </w:r>
    </w:p>
    <w:p w:rsidR="008723F1" w:rsidRPr="004E512C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>P2 = 13/32 = 0,41</w:t>
      </w:r>
    </w:p>
    <w:p w:rsidR="008723F1" w:rsidRPr="004E512C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>Informationsgewinn der Teilung:</w:t>
      </w:r>
    </w:p>
    <w:p w:rsidR="008723F1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IG= 0,93 – (0,59 * 0,74 + 0,41 * 0,61) </w:t>
      </w:r>
    </w:p>
    <w:p w:rsidR="008723F1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= 0,93 – (0,44 + 0,25)</w:t>
      </w:r>
    </w:p>
    <w:p w:rsidR="008723F1" w:rsidRPr="004E512C" w:rsidRDefault="008723F1" w:rsidP="008723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= 0,93 – 0,69 = 0,24</w:t>
      </w:r>
    </w:p>
    <w:p w:rsidR="008723F1" w:rsidRDefault="008723F1" w:rsidP="008723F1"/>
    <w:p w:rsidR="008723F1" w:rsidRDefault="008723F1" w:rsidP="008723F1"/>
    <w:p w:rsidR="008723F1" w:rsidRDefault="008723F1" w:rsidP="008723F1">
      <w:r>
        <w:t>Die Teilung der Grundmenge nach Merkmal Saldo bei 50000 führt also zu einem IG von 0,</w:t>
      </w:r>
      <w:r w:rsidR="00DE3191">
        <w:t>24</w:t>
      </w:r>
      <w:r>
        <w:t>. Nun kann der IG für andere Teilung</w:t>
      </w:r>
      <w:r w:rsidR="00D410D5">
        <w:t>en</w:t>
      </w:r>
      <w:r>
        <w:t xml:space="preserve"> des Saldos, z.B. bei 40000, berechnet werden. </w:t>
      </w:r>
      <w:r w:rsidR="00D410D5">
        <w:t>Für einen Knoten wird unter allen verfübaren Variablen und Teilungen der größte Informationsgewinn berechnet und zur Teilung eines Knoten verwendet. Diese Verfah</w:t>
      </w:r>
      <w:r w:rsidR="00077FDA">
        <w:t>r</w:t>
      </w:r>
      <w:r w:rsidR="00D410D5">
        <w:t xml:space="preserve">en wird Top-Down angewendet bis keine Daten mehr </w:t>
      </w:r>
      <w:r w:rsidR="00DE3191">
        <w:t>aufteilbar</w:t>
      </w:r>
      <w:r w:rsidR="00D410D5">
        <w:t xml:space="preserve"> sind.</w:t>
      </w:r>
    </w:p>
    <w:p w:rsidR="008723F1" w:rsidRDefault="008723F1" w:rsidP="008723F1"/>
    <w:p w:rsidR="008723F1" w:rsidRDefault="008723F1" w:rsidP="008723F1"/>
    <w:p w:rsidR="00F53C8B" w:rsidRDefault="00F53C8B"/>
    <w:sectPr w:rsidR="00F53C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3C68"/>
    <w:multiLevelType w:val="multilevel"/>
    <w:tmpl w:val="45EE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467E89"/>
    <w:multiLevelType w:val="multilevel"/>
    <w:tmpl w:val="2214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B7E00EB"/>
    <w:multiLevelType w:val="hybridMultilevel"/>
    <w:tmpl w:val="9EEAF62C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3F1"/>
    <w:rsid w:val="000415DD"/>
    <w:rsid w:val="00077FDA"/>
    <w:rsid w:val="000926C9"/>
    <w:rsid w:val="001E662D"/>
    <w:rsid w:val="001F19FE"/>
    <w:rsid w:val="004A0C96"/>
    <w:rsid w:val="004E28C8"/>
    <w:rsid w:val="005A4CF3"/>
    <w:rsid w:val="006A10FE"/>
    <w:rsid w:val="0076470E"/>
    <w:rsid w:val="008723F1"/>
    <w:rsid w:val="009125BC"/>
    <w:rsid w:val="00A545A7"/>
    <w:rsid w:val="00BE3C2A"/>
    <w:rsid w:val="00C967D9"/>
    <w:rsid w:val="00D410D5"/>
    <w:rsid w:val="00DC3EB8"/>
    <w:rsid w:val="00DE3191"/>
    <w:rsid w:val="00E824EB"/>
    <w:rsid w:val="00F5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723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25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4CF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4C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8723F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23F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23F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25B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9125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723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25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4CF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4C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8723F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23F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23F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25B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912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Wilhelm Hahn</dc:creator>
  <cp:lastModifiedBy>Willi Hahn</cp:lastModifiedBy>
  <cp:revision>10</cp:revision>
  <dcterms:created xsi:type="dcterms:W3CDTF">2024-05-10T07:57:00Z</dcterms:created>
  <dcterms:modified xsi:type="dcterms:W3CDTF">2025-08-14T14:18:00Z</dcterms:modified>
</cp:coreProperties>
</file>