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财报分析智能体 financial-report-claw</w:t>
      </w:r>
    </w:p>
    <w:p>
      <w:pPr>
        <w:jc w:val="center"/>
      </w:pPr>
      <w:r>
        <w:rPr>
          <w:color w:val="666666"/>
          <w:sz w:val="24"/>
        </w:rPr>
        <w:t>系统架构与设计思路（含渠道 · 设施 · 数据源）</w:t>
      </w:r>
    </w:p>
    <w:p>
      <w:r>
        <w:t>选题方向：上市公司财务报告分析</w:t>
      </w:r>
    </w:p>
    <w:p>
      <w:r>
        <w:t>生成日期：2026-10-08　作者：Author</w:t>
      </w:r>
    </w:p>
    <w:p>
      <w:pPr>
        <w:pStyle w:val="Heading1"/>
      </w:pPr>
      <w:r>
        <w:t>一、选题与定位</w:t>
      </w:r>
    </w:p>
    <w:p>
      <w:r>
        <w:t>选题方向：上市公司财务报告分析。本作品把上市公司公开财务报告从原始三表加工成可执行投研结论，端到端服务财务报告本身，而非交易信号。交付形态：FastAPI 后端 + 单文件 SPA 前端 + 自持 Agent 核心 + 本地 SQLite 数据仓库 + QQ 机器人渠道。</w:t>
      </w:r>
    </w:p>
    <w:p>
      <w:pPr>
        <w:pStyle w:val="Heading1"/>
      </w:pPr>
      <w:r>
        <w:t>二、总体架构（分层）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关键模块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玄金终端 SPA（哈希路由、自托管 ECharts、A股红涨绿跌、响应式移动端抽屉导航）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</w:tr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FastAPI（uvicorn，公网 80；GZip + TTL 缓存 + 并发扫描）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</w:tr>
      <w:tr>
        <w:tc>
          <w:tcPr>
            <w:tcW w:type="dxa" w:w="2880"/>
          </w:tcPr>
          <w:p>
            <w:r>
              <w:t>加工</w:t>
            </w:r>
          </w:p>
        </w:tc>
        <w:tc>
          <w:tcPr>
            <w:tcW w:type="dxa" w:w="2880"/>
          </w:tcPr>
          <w:p>
            <w:r>
              <w:t>规范化 → 指标 → 勾稽 → 异常 → 深析/法证/现金流桥</w:t>
            </w:r>
          </w:p>
        </w:tc>
        <w:tc>
          <w:tcPr>
            <w:tcW w:type="dxa" w:w="2880"/>
          </w:tcPr>
          <w:p>
            <w:r>
              <w:t>normalize/indicators/checks/anomaly/deep/forensics/bridge</w:t>
            </w:r>
          </w:p>
        </w:tc>
      </w:tr>
      <w:tr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扫描编排 → 报告 → 建议 → 证据链</w:t>
            </w:r>
          </w:p>
        </w:tc>
        <w:tc>
          <w:tcPr>
            <w:tcW w:type="dxa" w:w="2880"/>
          </w:tcPr>
          <w:p>
            <w:r>
              <w:t>scanner/report/suggest/trust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LLM + 工具函数调用循环（双档路由，独立于 OpenClaw）</w:t>
            </w:r>
          </w:p>
        </w:tc>
        <w:tc>
          <w:tcPr>
            <w:tcW w:type="dxa" w:w="2880"/>
          </w:tcPr>
          <w:p>
            <w:r>
              <w:t>agent_core/llm</w:t>
            </w:r>
          </w:p>
        </w:tc>
      </w:tr>
      <w:tr>
        <w:tc>
          <w:tcPr>
            <w:tcW w:type="dxa" w:w="2880"/>
          </w:tcPr>
          <w:p>
            <w:r>
              <w:t>全市场</w:t>
            </w:r>
          </w:p>
        </w:tc>
        <w:tc>
          <w:tcPr>
            <w:tcW w:type="dxa" w:w="2880"/>
          </w:tcPr>
          <w:p>
            <w:r>
              <w:t>云端批量分析 + 赛道分类 + 对比 + 对标</w:t>
            </w:r>
          </w:p>
        </w:tc>
        <w:tc>
          <w:tcPr>
            <w:tcW w:type="dxa" w:w="2880"/>
          </w:tcPr>
          <w:p>
            <w:r>
              <w:t>research/tracks/factors/screener</w:t>
            </w:r>
          </w:p>
        </w:tc>
      </w:tr>
      <w:tr>
        <w:tc>
          <w:tcPr>
            <w:tcW w:type="dxa" w:w="2880"/>
          </w:tcPr>
          <w:p>
            <w:r>
              <w:t>回测</w:t>
            </w:r>
          </w:p>
        </w:tc>
        <w:tc>
          <w:tcPr>
            <w:tcW w:type="dxa" w:w="2880"/>
          </w:tcPr>
          <w:p>
            <w:r>
              <w:t>无未来函数多期 walk-forward + 100 轮随机事件</w:t>
            </w:r>
          </w:p>
        </w:tc>
        <w:tc>
          <w:tcPr>
            <w:tcW w:type="dxa" w:w="2880"/>
          </w:tcPr>
          <w:p>
            <w:r>
              <w:t>backtest/lab</w:t>
            </w:r>
          </w:p>
        </w:tc>
      </w:tr>
      <w:tr>
        <w:tc>
          <w:tcPr>
            <w:tcW w:type="dxa" w:w="2880"/>
          </w:tcPr>
          <w:p>
            <w:r>
              <w:t>渠道</w:t>
            </w:r>
          </w:p>
        </w:tc>
        <w:tc>
          <w:tcPr>
            <w:tcW w:type="dxa" w:w="2880"/>
          </w:tcPr>
          <w:p>
            <w:r>
              <w:t>QQ 机器人（WebSocket 长连接 + 命令路由 + Agent 接管）</w:t>
            </w:r>
          </w:p>
        </w:tc>
        <w:tc>
          <w:tcPr>
            <w:tcW w:type="dxa" w:w="2880"/>
          </w:tcPr>
          <w:p>
            <w:r>
              <w:t>qqbot</w:t>
            </w:r>
          </w:p>
        </w:tc>
      </w:tr>
      <w:tr>
        <w:tc>
          <w:tcPr>
            <w:tcW w:type="dxa" w:w="2880"/>
          </w:tcPr>
          <w:p>
            <w:r>
              <w:t>可靠性</w:t>
            </w:r>
          </w:p>
        </w:tc>
        <w:tc>
          <w:tcPr>
            <w:tcW w:type="dxa" w:w="2880"/>
          </w:tcPr>
          <w:p>
            <w:r>
              <w:t>外部抓取超时护栏 + 本地兜底 + 留痕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本地 SQLite 仓库 + 容量受限缓存 + 审计 jsonl</w:t>
            </w:r>
          </w:p>
        </w:tc>
        <w:tc>
          <w:tcPr>
            <w:tcW w:type="dxa" w:w="2880"/>
          </w:tcPr>
          <w:p>
            <w:r>
              <w:t>warehouse/datasource/store</w:t>
            </w:r>
          </w:p>
        </w:tc>
      </w:tr>
    </w:tbl>
    <w:p>
      <w:pPr>
        <w:pStyle w:val="Heading1"/>
      </w:pPr>
      <w:r>
        <w:t>三、后端模块地图（backend/app/，共 52 个模块）</w:t>
      </w:r>
    </w:p>
    <w:p>
      <w:pPr>
        <w:pStyle w:val="ListBullet"/>
      </w:pPr>
      <w:r>
        <w:t>基础：datasource（取数+容量受限缓存+重试）、normalize（三表规范化）、indicators（指标+单季同比环比）、checks（勾稽）、anomaly（异常/口径/背离）、report（归因+证据链）</w:t>
      </w:r>
    </w:p>
    <w:p>
      <w:pPr>
        <w:pStyle w:val="ListBullet"/>
      </w:pPr>
      <w:r>
        <w:t>高级：forensics（Beneish/Piotroski/Altman/应计）、bridge（利润→现金流桥）、crosscheck、changepoint、struct、profile、risk（0-100 综合分）、suggest（关注/谨慎/规避）</w:t>
      </w:r>
    </w:p>
    <w:p>
      <w:pPr>
        <w:pStyle w:val="ListBullet"/>
      </w:pPr>
      <w:r>
        <w:t>财报特化：checkup（体检评分）、deep（杜邦/周转/现金流形态/盈利质量/税负/资产质量/评分卡/红旗）、thesis（投资逻辑闭环）、caliber（口径守卫）、announce（公告结构化）、valuation_model（DCF+相对+敏感矩阵）、report_check（研报纠错）</w:t>
      </w:r>
    </w:p>
    <w:p>
      <w:pPr>
        <w:pStyle w:val="ListBullet"/>
      </w:pPr>
      <w:r>
        <w:t>全市场：market、tracks（7 赛道+对比）、research（云端批量+对标）、factors、screener、marketdata（腾讯K线+东财F10）、realtime（行情/指数/资金流/指数折线）</w:t>
      </w:r>
    </w:p>
    <w:p>
      <w:pPr>
        <w:pStyle w:val="ListBullet"/>
      </w:pPr>
      <w:r>
        <w:t>决策闭环：position、brief、portfolio（组合风控）、roundtable（财报五角色圆桌）、track（结论校准）、trust（证据链+幻觉拦截）、warehouse、syncjob</w:t>
      </w:r>
    </w:p>
    <w:p>
      <w:pPr>
        <w:pStyle w:val="ListBullet"/>
      </w:pPr>
      <w:r>
        <w:t>协作与渠道：agent_core（LLM+14 工具+双档路由）、llm（快/深档）、qqbot（QQ 机器人）</w:t>
      </w:r>
    </w:p>
    <w:p>
      <w:pPr>
        <w:pStyle w:val="ListBullet"/>
      </w:pPr>
      <w:r>
        <w:t>平台与可靠性：perf（TTL 缓存+计时）、safe（超时护栏+留痕）、store、main</w:t>
      </w:r>
    </w:p>
    <w:p>
      <w:pPr>
        <w:pStyle w:val="Heading1"/>
      </w:pPr>
      <w:r>
        <w:t>四、自持 Agent（不依赖 OpenClaw）</w:t>
      </w:r>
    </w:p>
    <w:p>
      <w:r>
        <w:t>agent_core.py 是完整的 LLM + 工具调用循环：大模型自行决定调用哪个财报工具（analyze/deep_analysis/quote/peer_benchmark/checkup/thesis/valuation/announcements/caliber_check/events/dividend/fundflow/screen/market_overview 共 14 个），工具返回已算好的事实，LLM 只做组织与判断。</w:t>
      </w:r>
    </w:p>
    <w:p>
      <w:pPr>
        <w:pStyle w:val="ListBullet"/>
      </w:pPr>
      <w:r>
        <w:t>双档路由：简单取数走 deepseek-chat 快路径（~4s），需要判断的分析走 v4-pro 深档（多工具综合）</w:t>
      </w:r>
    </w:p>
    <w:p>
      <w:pPr>
        <w:pStyle w:val="ListBullet"/>
      </w:pPr>
      <w:r>
        <w:t>多轮记忆：按 session_key 保留最近数轮，追问「那它呢」可接上文</w:t>
      </w:r>
    </w:p>
    <w:p>
      <w:pPr>
        <w:pStyle w:val="ListBullet"/>
      </w:pPr>
      <w:r>
        <w:t>顶级分析师提示词：先判断后证据、有观点、主动指出易漏点、主动对比与给下一步、自我纠正</w:t>
      </w:r>
    </w:p>
    <w:p>
      <w:pPr>
        <w:pStyle w:val="Heading1"/>
      </w:pPr>
      <w:r>
        <w:t>五、渠道：QQ 机器人</w:t>
      </w:r>
    </w:p>
    <w:p>
      <w:r>
        <w:t>qqbot.py 接入 QQ 开放平台，让财报分析智能体成为可随时对话的渠道入口。</w:t>
      </w:r>
    </w:p>
    <w:p>
      <w:pPr>
        <w:pStyle w:val="ListBullet"/>
      </w:pPr>
      <w:r>
        <w:t>接入方式：WebSocket 长连接（wss://api.sgroup.qq.com/websocket），无需公网 HTTPS 回调</w:t>
      </w:r>
    </w:p>
    <w:p>
      <w:pPr>
        <w:pStyle w:val="ListBullet"/>
      </w:pPr>
      <w:r>
        <w:t>交互：确定性命令路由（帮助 / 风险 600519 / 行情 600519 / 财报 600519 …）+ 自然语言交自持 Agent 作答</w:t>
      </w:r>
    </w:p>
    <w:p>
      <w:pPr>
        <w:pStyle w:val="ListBullet"/>
      </w:pPr>
      <w:r>
        <w:t>工程要点：消息处理投线程池，不阻塞 WebSocket 接收循环；回复经 md2qq 去 Markdown（QQ 不渲染 ** / #）</w:t>
      </w:r>
    </w:p>
    <w:p>
      <w:pPr>
        <w:pStyle w:val="ListBullet"/>
      </w:pPr>
      <w:r>
        <w:t>凭据：data/qqbot.json（AppID/AppSecret/bot_secret，600 权限），不在代码/日志回显</w:t>
      </w:r>
    </w:p>
    <w:p>
      <w:pPr>
        <w:pStyle w:val="ListBullet"/>
      </w:pPr>
      <w:r>
        <w:t>接口：GET /api/qq/status、/api/qq/agent/status；POST /api/qq/command、/api/qq/webhook</w:t>
      </w:r>
    </w:p>
    <w:p>
      <w:pPr>
        <w:pStyle w:val="Heading1"/>
      </w:pPr>
      <w:r>
        <w:t>六、配套设施：部署与运维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设施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Dockerfile / docker-compose.yml / .dockerignore</w:t>
            </w:r>
          </w:p>
        </w:tc>
        <w:tc>
          <w:tcPr>
            <w:tcW w:type="dxa" w:w="2880"/>
          </w:tcPr>
          <w:p>
            <w:r>
              <w:t>一键起站（含 healthcheck）</w:t>
            </w:r>
          </w:p>
        </w:tc>
      </w:tr>
      <w:tr>
        <w:tc>
          <w:tcPr>
            <w:tcW w:type="dxa" w:w="2880"/>
          </w:tcPr>
          <w:p>
            <w:r>
              <w:t>systemd</w:t>
            </w:r>
          </w:p>
        </w:tc>
        <w:tc>
          <w:tcPr>
            <w:tcW w:type="dxa" w:w="2880"/>
          </w:tcPr>
          <w:p>
            <w:r>
              <w:t>deploy/fr-agent.service</w:t>
            </w:r>
          </w:p>
        </w:tc>
        <w:tc>
          <w:tcPr>
            <w:tcW w:type="dxa" w:w="2880"/>
          </w:tcPr>
          <w:p>
            <w:r>
              <w:t>uvicorn 服务（80 端口，资源限制）</w:t>
            </w:r>
          </w:p>
        </w:tc>
      </w:tr>
      <w:tr>
        <w:tc>
          <w:tcPr>
            <w:tcW w:type="dxa" w:w="2880"/>
          </w:tcPr>
          <w:p>
            <w:r>
              <w:t>定时扫描</w:t>
            </w:r>
          </w:p>
        </w:tc>
        <w:tc>
          <w:tcPr>
            <w:tcW w:type="dxa" w:w="2880"/>
          </w:tcPr>
          <w:p>
            <w:r>
              <w:t>deploy/fr-agent-scan.service + .timer</w:t>
            </w:r>
          </w:p>
        </w:tc>
        <w:tc>
          <w:tcPr>
            <w:tcW w:type="dxa" w:w="2880"/>
          </w:tcPr>
          <w:p>
            <w:r>
              <w:t>每 6h 扫描自选股 → 预警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deploy/nginx-fr.conf</w:t>
            </w:r>
          </w:p>
        </w:tc>
        <w:tc>
          <w:tcPr>
            <w:tcW w:type="dxa" w:w="2880"/>
          </w:tcPr>
          <w:p>
            <w:r>
              <w:t>可选反代/TLS 配置</w:t>
            </w:r>
          </w:p>
        </w:tc>
      </w:tr>
      <w:tr>
        <w:tc>
          <w:tcPr>
            <w:tcW w:type="dxa" w:w="2880"/>
          </w:tcPr>
          <w:p>
            <w:r>
              <w:t>安装脚本</w:t>
            </w:r>
          </w:p>
        </w:tc>
        <w:tc>
          <w:tcPr>
            <w:tcW w:type="dxa" w:w="2880"/>
          </w:tcPr>
          <w:p>
            <w:r>
              <w:t>install.sh</w:t>
            </w:r>
          </w:p>
        </w:tc>
        <w:tc>
          <w:tcPr>
            <w:tcW w:type="dxa" w:w="2880"/>
          </w:tcPr>
          <w:p>
            <w:r>
              <w:t>装依赖 + venv + systemd 一键</w:t>
            </w:r>
          </w:p>
        </w:tc>
      </w:tr>
    </w:tbl>
    <w:p>
      <w:pPr>
        <w:pStyle w:val="Heading1"/>
      </w:pPr>
      <w:r>
        <w:t>七、数据源</w:t>
      </w:r>
    </w:p>
    <w:p>
      <w:pPr>
        <w:pStyle w:val="ListBullet"/>
      </w:pPr>
      <w:r>
        <w:t>akshare（东方财富）：三表 / 财务摘要 / 指标 / 主营构成 / 全市场业绩报表</w:t>
      </w:r>
    </w:p>
    <w:p>
      <w:pPr>
        <w:pStyle w:val="ListBullet"/>
      </w:pPr>
      <w:r>
        <w:t>腾讯：实时行情、前复权 K 线（含指数折线）</w:t>
      </w:r>
    </w:p>
    <w:p>
      <w:pPr>
        <w:pStyle w:val="ListBullet"/>
      </w:pPr>
      <w:r>
        <w:t>东财 push2/datacenter：指数、资金流、龙虎榜/两融/大宗/业绩预告</w:t>
      </w:r>
    </w:p>
    <w:p>
      <w:pPr>
        <w:pStyle w:val="ListBullet"/>
      </w:pPr>
      <w:r>
        <w:t>东财 F10：三级行业（口径与对标用）</w:t>
      </w:r>
    </w:p>
    <w:p>
      <w:pPr>
        <w:pStyle w:val="ListBullet"/>
      </w:pPr>
      <w:r>
        <w:t>已知不可用：东财 individual-info/board-industry-cons、push2his 部分 K 线（以本地仓库/兜底处理）</w:t>
      </w:r>
    </w:p>
    <w:p>
      <w:pPr>
        <w:pStyle w:val="Heading1"/>
      </w:pPr>
      <w:r>
        <w:t>八、前端（玄金终端）</w:t>
      </w:r>
    </w:p>
    <w:p>
      <w:pPr>
        <w:pStyle w:val="ListBullet"/>
      </w:pPr>
      <w:r>
        <w:t>单文件 SPA，哈希路由，自托管 ECharts，A股红涨绿跌、风险独立配色</w:t>
      </w:r>
    </w:p>
    <w:p>
      <w:pPr>
        <w:pStyle w:val="ListBullet"/>
      </w:pPr>
      <w:r>
        <w:t>18 个视图：问财报/总览/市场异动/财报赛道/全市场分析库/个股分析/多股对比/全市场选股/因子分层/回测实验室/组合风控/圆桌研判/我的持仓/自选跟踪/预警清单/审计校准/数据仓库/QQ 机器人</w:t>
      </w:r>
    </w:p>
    <w:p>
      <w:pPr>
        <w:pStyle w:val="ListBullet"/>
      </w:pPr>
      <w:r>
        <w:t>内置 Markdown 文档渲染器；指数卡迷你折线（30 日 + 最高/最低点标注）；移动端抽屉导航</w:t>
      </w:r>
    </w:p>
    <w:p>
      <w:pPr>
        <w:pStyle w:val="Heading1"/>
      </w:pPr>
      <w:r>
        <w:t>九、数据层与可靠性</w:t>
      </w:r>
    </w:p>
    <w:p>
      <w:pPr>
        <w:pStyle w:val="ListBullet"/>
      </w:pPr>
      <w:r>
        <w:t>本地 SQLite 仓库（WAL+索引，显式 close 防锁）；分析/K线/快照/事件随用随存</w:t>
      </w:r>
    </w:p>
    <w:p>
      <w:pPr>
        <w:pStyle w:val="ListBullet"/>
      </w:pPr>
      <w:r>
        <w:t>缓存容量受限（&gt;12000 条自动裁剪）+ ts 索引，杜绝无限膨胀</w:t>
      </w:r>
    </w:p>
    <w:p>
      <w:pPr>
        <w:pStyle w:val="ListBullet"/>
      </w:pPr>
      <w:r>
        <w:t>外部抓取强制超时（safe.with_timeout）+ 本地仓库兜底（_wh_digest），单接口被限流不会拖死整站</w:t>
      </w:r>
    </w:p>
    <w:p>
      <w:pPr>
        <w:pStyle w:val="ListBullet"/>
      </w:pPr>
      <w:r>
        <w:t>重后台任务限流（1 worker+间隔）、断点续跑、意图标志持久化</w:t>
      </w:r>
    </w:p>
    <w:p>
      <w:pPr>
        <w:pStyle w:val="ListBullet"/>
      </w:pPr>
      <w:r>
        <w:t>接口层 GZip + 进程内 TTL 缓存（bootstrap 冷 3.5s→热 0.03s）</w:t>
      </w:r>
    </w:p>
    <w:p>
      <w:pPr>
        <w:pStyle w:val="Heading1"/>
      </w:pPr>
      <w:r>
        <w:t>十、关键设计决策</w:t>
      </w:r>
    </w:p>
    <w:p>
      <w:pPr>
        <w:pStyle w:val="ListBullet"/>
      </w:pPr>
      <w:r>
        <w:t>口径优先：会计口径变化与利润-现金流背离权重最高；金融股无营收/成本时比率 N/A（不填 0）</w:t>
      </w:r>
    </w:p>
    <w:p>
      <w:pPr>
        <w:pStyle w:val="ListBullet"/>
      </w:pPr>
      <w:r>
        <w:t>金融股与自由现金流为负的标的改用相对估值（PE/PB 历史分位），避免 FCFF DCF 给出荒谬值</w:t>
      </w:r>
    </w:p>
    <w:p>
      <w:pPr>
        <w:pStyle w:val="ListBullet"/>
      </w:pPr>
      <w:r>
        <w:t>能自算就自算：杜邦/周转/现金流形态/红旗/风险分全部从三表计算</w:t>
      </w:r>
    </w:p>
    <w:p>
      <w:pPr>
        <w:pStyle w:val="ListBullet"/>
      </w:pPr>
      <w:r>
        <w:t>任何外部抓取必须有超时与本地兜底——一个被限流的接口能把整站拖死</w:t>
      </w:r>
    </w:p>
    <w:p>
      <w:pPr>
        <w:pStyle w:val="Heading1"/>
      </w:pPr>
      <w:r>
        <w:t>十一、增强风控与造假验证（财报特化）</w:t>
      </w:r>
    </w:p>
    <w:p>
      <w:r>
        <w:t>在原有三表/指标/勾稽/异常/深析/红旗基础上，新增六项财报专精能力，全部只依据公开数据，缺失即标注缺失：</w:t>
      </w:r>
    </w:p>
    <w:p>
      <w:pPr>
        <w:pStyle w:val="ListBullet"/>
      </w:pPr>
      <w:r>
        <w:t>① 审计意见 / 内控意见：从定期报告与审计报告正文提取意见类型（标准无保留 / 强调事项段 / 保留 / 无法表示 / 否定）与内控缺陷等级</w:t>
      </w:r>
    </w:p>
    <w:p>
      <w:pPr>
        <w:pStyle w:val="ListBullet"/>
      </w:pPr>
      <w:r>
        <w:t>② 附注关键项：从定期报告全文抽取对外担保 / 受限资产 / 应收账龄 / 商誉减值 / 研发资本化 / 政府补助 / 有息负债 / 关联交易 / 分部等片段（证据优先，可回原文核对）</w:t>
      </w:r>
    </w:p>
    <w:p>
      <w:pPr>
        <w:pStyle w:val="ListBullet"/>
      </w:pPr>
      <w:r>
        <w:t>③ 跨期口径一致性 / 重述嫌疑：把关键科目按报告期串成时间线，检测突变并与会计政策/前期差错公告交叉</w:t>
      </w:r>
    </w:p>
    <w:p>
      <w:pPr>
        <w:pStyle w:val="ListBullet"/>
      </w:pPr>
      <w:r>
        <w:t>④ 行业口径基准：公司在同行业（或全市场）内的关键指标分位 + 会计结构占比</w:t>
      </w:r>
    </w:p>
    <w:p>
      <w:pPr>
        <w:pStyle w:val="ListBullet"/>
      </w:pPr>
      <w:r>
        <w:t>⑤ 真实盈余管理 (REM) / 分类转移：经营现金流、存货周转、酌量费用方向 + 扣非占比结构</w:t>
      </w:r>
    </w:p>
    <w:p>
      <w:pPr>
        <w:pStyle w:val="ListBullet"/>
      </w:pPr>
      <w:r>
        <w:t>⑥ 造假案例验证：用红旗引擎 + 风险分评估已知造假/暴雷公司（康美 / 康得新 / 獐子岛 / 乐视 / 辅仁 / 三聚 / 索菱 / 藏格），命中越多说明引擎越能识别真正的高危标的</w:t>
      </w:r>
    </w:p>
    <w:p>
      <w:r>
        <w:t>模块：forensic_plus（审计意见/附注/一致性/行业基准/REM）+ fraudcases（案例验证）；接口：/api/audit-opinion /api/notes /api/consistency /api/industry-bench /api/rem /api/fraudcases。前端：个股页「风控增强」页签 + 导航「造假验证」视图。</w:t>
      </w:r>
    </w:p>
    <w:p>
      <w:pPr>
        <w:pStyle w:val="Heading1"/>
      </w:pPr>
      <w:r>
        <w:t>十二、因子策略与留一法验证</w:t>
      </w:r>
    </w:p>
    <w:p>
      <w:r>
        <w:t>选股综合分采用多因子横截面 z 分数加权。权重不是拍脑袋定的，而是用本地算力对 7 个报告期做留一法交叉验证优化得到。</w:t>
      </w:r>
    </w:p>
    <w:p>
      <w:r>
        <w:t>方法：留一法(LOSO)——每次留出一个报告期做验证，用其余 6 期以坐标上升法重新优化非负因子权重，只在留出期评估超额；迭代 30 组（持有期 × 持仓数 × 过滤）。同时测试了从 np/rev 推导的工程化因子（净利率、规模、利润-营收增速差、质量）。</w:t>
      </w:r>
    </w:p>
    <w:p>
      <w:r>
        <w:t>结果：最优为持有 5 日、Top8、非暴雷，权重 营收增速 0.57 / ROE 0.30 / 毛利率 0.28，留一超额 +3.54%、留一胜率 100%，优于现役策略（留一 +0.87%、胜率 67%）。</w:t>
      </w:r>
    </w:p>
    <w:p>
      <w:r>
        <w:t>落地：结果写入 backend/app/strategy.py 作为唯一策略源，factors.py 与前端活跃策略卡均从此读取。</w:t>
      </w:r>
    </w:p>
    <w:p>
      <w:r>
        <w:t>诚实披露：样本内 4.67% 会高估（优化过拟合），留一法 3.54% 才可外推；样本受 K 线覆盖限制（约 300 只/期）。</w:t>
      </w:r>
    </w:p>
    <w:p>
      <w:r>
        <w:t>统计量：留一超额 +3.54%、有效折 3 折、标准差 3.76、t=1.63（未达 5% 显著）、平均 IC -0.03。因此定位为「方向为正、口径更干净的可验证策略」，而非已证实的显著 alpha；扩覆盖后可让 7 折全部有效。</w:t>
      </w:r>
    </w:p>
    <w:p>
      <w:pPr>
        <w:pStyle w:val="Heading1"/>
      </w:pPr>
      <w:r>
        <w:t>十三、统计学证据：消融与基准对比</w:t>
      </w:r>
    </w:p>
    <w:p>
      <w:r>
        <w:t>为避免「功能多但无法证明有效」，补三类带基线的检验：</w:t>
      </w:r>
    </w:p>
    <w:p>
      <w:r>
        <w:t>1) 因子消融（真留一法）：逐一去掉因子/过滤器重跑。毛利率最关键（去掉后留一超额 3.54%→0.27%），营收增速次之（→1.97%），去掉净利增速反而更好（→4.38%，佐证剔除决策）。诚实披露：优化权重与等权同分，权重优化的边际贡献≈0。</w:t>
      </w:r>
    </w:p>
    <w:p>
      <w:r>
        <w:t>2) 基准对比：小市值 -1.66%（不是规模 beta）；单因子最好仅 +0.74%；等权四因子 +2.80%；随机权重 300 组均值 +2.39% —— 正超额来自「多因子合成 + 头部组合」结构，而非特定权重。</w:t>
      </w:r>
    </w:p>
    <w:p>
      <w:r>
        <w:t>3) 风控引擎区分力（含误报率）：完整引擎在 5 家可评估造假公司 100% 命中，但对照组误报率 92-94%，原始「异常≥3」几乎无区分力。改用风险分：阈值≥50 时召回 80%、误报 27.5%（对照组中位数仅 39）——定位为「风险预筛选」而非「造假识别器」。</w:t>
      </w:r>
    </w:p>
    <w:p>
      <w:r>
        <w:t>交付：08_回测结果/ 增加 G_消融与基准对比.xlsx（5 sheet），评估报告增加第十、十一章。</w:t>
      </w:r>
    </w:p>
    <w:p>
      <w:pPr>
        <w:pStyle w:val="Heading1"/>
      </w:pPr>
      <w:r>
        <w:t>十四、扩样复核与定位修正</w:t>
      </w:r>
    </w:p>
    <w:p>
      <w:r>
        <w:t>把 K 线历史从约 1 年扩到约 3 年、每期样本从约 300 只升到约 2580 只后，对因子策略重新评估。</w:t>
      </w:r>
    </w:p>
    <w:p>
      <w:r>
        <w:t>结果：活跃策略的样本外超额由 +3.54%(3 折) 变为 -2.37%(4 期)——原正超额是小样本假象；扩样后策略不再跑赢基准。单因子最好为营收 +0.56%，唯一正向是规模（小市值 +1.38%，属已知 beta）。</w:t>
      </w:r>
    </w:p>
    <w:p>
      <w:r>
        <w:t>方法学教训：留一法的有效折数取决于每期可用样本；样本不足时任何最优策略都可能是过拟合。评估必须以足够样本为前提，并报告有效折数与 t 值。</w:t>
      </w:r>
    </w:p>
    <w:p>
      <w:r>
        <w:t>定位修正：作品定位为严谨可复现的评估框架 + 带误报率的风险预筛选，不声称策略 alpha。数据源侧：腾讯 K 线接口有 WAF，突发批量请求会被 501 挑战页封禁，需限速与冷却。</w:t>
      </w:r>
    </w:p>
    <w:p>
      <w:pPr>
        <w:pStyle w:val="Heading1"/>
      </w:pPr>
      <w:r>
        <w:t>十五、盲测与多轮优化（主打能力的验证）</w:t>
      </w:r>
    </w:p>
    <w:p>
      <w:r>
        <w:t>对主打的财报风险分析做带对照的盲测：正样本 11 家已知造假/违规（其余多已退市），对照全市场 5560 家；规则按财务逻辑预先定义，不逐家看标签。</w:t>
      </w:r>
    </w:p>
    <w:p>
      <w:r>
        <w:t>7 轮结果：风险分是主引擎（AUC 0.734；去掉后降至 0.627，仅规则 0.514）；加 3×高价值红旗小幅提升到 0.747、召回@前5% 由 18.2% 升到 27.3%；集成调权的两轮未超过最佳（0.738/0.745），如实记录为「无提升」。</w:t>
      </w:r>
    </w:p>
    <w:p>
      <w:r>
        <w:t>显著性：R2-R1 增益 +0.0128，500 次 bootstrap 中 100% 为正，留一任一正样本后仍成立。</w:t>
      </w:r>
    </w:p>
    <w:p>
      <w:r>
        <w:t>工程纪律：精确率仅 0.7-1.1%，故定位为预筛选；不为一丁点边际增益改动线上逻辑，增益层作为可选提示留档于 08_回测结果/I_盲测多轮优化.xlsx。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