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无未来函数回测 · 十轮迭代</w:t>
      </w:r>
    </w:p>
    <w:p>
      <w:pPr>
        <w:jc w:val="center"/>
      </w:pPr>
      <w:r>
        <w:rPr>
          <w:color w:val="666666"/>
          <w:sz w:val="24"/>
        </w:rPr>
        <w:t>financial-report-claw · 实战检验记录</w:t>
      </w:r>
    </w:p>
    <w:p>
      <w:r>
        <w:t>选题方向：上市公司财务报告分析</w:t>
      </w:r>
    </w:p>
    <w:p>
      <w:r>
        <w:t>生成日期：2026-10-08　作者：Author</w:t>
      </w:r>
    </w:p>
    <w:p>
      <w:pPr>
        <w:pStyle w:val="Heading1"/>
      </w:pPr>
      <w:r>
        <w:t>一、回测方法论（无未来函数铁律）</w:t>
      </w:r>
    </w:p>
    <w:p>
      <w:pPr>
        <w:pStyle w:val="ListBullet"/>
      </w:pPr>
      <w:r>
        <w:t>信号只用“决策日 T0 及之前已可得”的信息：2026-06-30 报告期财报快照，法定披露截止 2026-08-31</w:t>
      </w:r>
    </w:p>
    <w:p>
      <w:pPr>
        <w:pStyle w:val="ListBullet"/>
      </w:pPr>
      <w:r>
        <w:t>收益只用“T0 之后”的前复权 K 线（warehouse.kline）</w:t>
      </w:r>
    </w:p>
    <w:p>
      <w:pPr>
        <w:pStyle w:val="ListBullet"/>
      </w:pPr>
      <w:r>
        <w:t>二者时间严格不重叠 —— 阻断一切未来函数</w:t>
      </w:r>
    </w:p>
    <w:p>
      <w:pPr>
        <w:pStyle w:val="ListBullet"/>
      </w:pPr>
      <w:r>
        <w:t>默认 T0 = 2026-09-01（披露截止后首个交易日）；持有 H 个交易日</w:t>
      </w:r>
    </w:p>
    <w:p>
      <w:pPr>
        <w:pStyle w:val="Heading1"/>
      </w:pPr>
      <w:r>
        <w:t>二、十轮策略回测结果（T0=2026-09-01）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轮次 / 策略</w:t>
            </w:r>
          </w:p>
        </w:tc>
        <w:tc>
          <w:tcPr>
            <w:tcW w:type="dxa" w:w="1080"/>
          </w:tcPr>
          <w:p>
            <w:r>
              <w:t>H</w:t>
            </w:r>
          </w:p>
        </w:tc>
        <w:tc>
          <w:tcPr>
            <w:tcW w:type="dxa" w:w="1080"/>
          </w:tcPr>
          <w:p>
            <w:r>
              <w:t>持仓</w:t>
            </w:r>
          </w:p>
        </w:tc>
        <w:tc>
          <w:tcPr>
            <w:tcW w:type="dxa" w:w="1080"/>
          </w:tcPr>
          <w:p>
            <w:r>
              <w:t>组合收益</w:t>
            </w:r>
          </w:p>
        </w:tc>
        <w:tc>
          <w:tcPr>
            <w:tcW w:type="dxa" w:w="1080"/>
          </w:tcPr>
          <w:p>
            <w:r>
              <w:t>基准</w:t>
            </w:r>
          </w:p>
        </w:tc>
        <w:tc>
          <w:tcPr>
            <w:tcW w:type="dxa" w:w="1080"/>
          </w:tcPr>
          <w:p>
            <w:r>
              <w:t>超额</w:t>
            </w:r>
          </w:p>
        </w:tc>
        <w:tc>
          <w:tcPr>
            <w:tcW w:type="dxa" w:w="1080"/>
          </w:tcPr>
          <w:p>
            <w:r>
              <w:t>命中率</w:t>
            </w:r>
          </w:p>
        </w:tc>
        <w:tc>
          <w:tcPr>
            <w:tcW w:type="dxa" w:w="1080"/>
          </w:tcPr>
          <w:p>
            <w:r>
              <w:t>IC</w:t>
            </w:r>
          </w:p>
        </w:tc>
      </w:tr>
      <w:tr>
        <w:tc>
          <w:tcPr>
            <w:tcW w:type="dxa" w:w="1080"/>
          </w:tcPr>
          <w:p>
            <w:r>
              <w:t>R1 基准：全市场等权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298</w:t>
            </w:r>
          </w:p>
        </w:tc>
        <w:tc>
          <w:tcPr>
            <w:tcW w:type="dxa" w:w="1080"/>
          </w:tcPr>
          <w:p>
            <w:r>
              <w:t>-3.41%</w:t>
            </w:r>
          </w:p>
        </w:tc>
        <w:tc>
          <w:tcPr>
            <w:tcW w:type="dxa" w:w="1080"/>
          </w:tcPr>
          <w:p>
            <w:r>
              <w:t>-3.41%</w:t>
            </w:r>
          </w:p>
        </w:tc>
        <w:tc>
          <w:tcPr>
            <w:tcW w:type="dxa" w:w="1080"/>
          </w:tcPr>
          <w:p>
            <w:r>
              <w:t>+0.00%</w:t>
            </w:r>
          </w:p>
        </w:tc>
        <w:tc>
          <w:tcPr>
            <w:tcW w:type="dxa" w:w="1080"/>
          </w:tcPr>
          <w:p>
            <w:r>
              <w:t>21.1%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R2 综合分 Top20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+0.56%</w:t>
            </w:r>
          </w:p>
        </w:tc>
        <w:tc>
          <w:tcPr>
            <w:tcW w:type="dxa" w:w="1080"/>
          </w:tcPr>
          <w:p>
            <w:r>
              <w:t>-3.41%</w:t>
            </w:r>
          </w:p>
        </w:tc>
        <w:tc>
          <w:tcPr>
            <w:tcW w:type="dxa" w:w="1080"/>
          </w:tcPr>
          <w:p>
            <w:r>
              <w:t>+3.97%</w:t>
            </w:r>
          </w:p>
        </w:tc>
        <w:tc>
          <w:tcPr>
            <w:tcW w:type="dxa" w:w="1080"/>
          </w:tcPr>
          <w:p>
            <w:r>
              <w:t>35.0%</w:t>
            </w:r>
          </w:p>
        </w:tc>
        <w:tc>
          <w:tcPr>
            <w:tcW w:type="dxa" w:w="1080"/>
          </w:tcPr>
          <w:p>
            <w:r>
              <w:t>-0.0393</w:t>
            </w:r>
          </w:p>
        </w:tc>
      </w:tr>
      <w:tr>
        <w:tc>
          <w:tcPr>
            <w:tcW w:type="dxa" w:w="1080"/>
          </w:tcPr>
          <w:p>
            <w:r>
              <w:t>R3 净利增速 Top20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-2.92%</w:t>
            </w:r>
          </w:p>
        </w:tc>
        <w:tc>
          <w:tcPr>
            <w:tcW w:type="dxa" w:w="1080"/>
          </w:tcPr>
          <w:p>
            <w:r>
              <w:t>-3.41%</w:t>
            </w:r>
          </w:p>
        </w:tc>
        <w:tc>
          <w:tcPr>
            <w:tcW w:type="dxa" w:w="1080"/>
          </w:tcPr>
          <w:p>
            <w:r>
              <w:t>+0.50%</w:t>
            </w:r>
          </w:p>
        </w:tc>
        <w:tc>
          <w:tcPr>
            <w:tcW w:type="dxa" w:w="1080"/>
          </w:tcPr>
          <w:p>
            <w:r>
              <w:t>30.0%</w:t>
            </w:r>
          </w:p>
        </w:tc>
        <w:tc>
          <w:tcPr>
            <w:tcW w:type="dxa" w:w="1080"/>
          </w:tcPr>
          <w:p>
            <w:r>
              <w:t>-0.0057</w:t>
            </w:r>
          </w:p>
        </w:tc>
      </w:tr>
      <w:tr>
        <w:tc>
          <w:tcPr>
            <w:tcW w:type="dxa" w:w="1080"/>
          </w:tcPr>
          <w:p>
            <w:r>
              <w:t>R4 ROE Top20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-3.39%</w:t>
            </w:r>
          </w:p>
        </w:tc>
        <w:tc>
          <w:tcPr>
            <w:tcW w:type="dxa" w:w="1080"/>
          </w:tcPr>
          <w:p>
            <w:r>
              <w:t>-3.41%</w:t>
            </w:r>
          </w:p>
        </w:tc>
        <w:tc>
          <w:tcPr>
            <w:tcW w:type="dxa" w:w="1080"/>
          </w:tcPr>
          <w:p>
            <w:r>
              <w:t>+0.03%</w:t>
            </w:r>
          </w:p>
        </w:tc>
        <w:tc>
          <w:tcPr>
            <w:tcW w:type="dxa" w:w="1080"/>
          </w:tcPr>
          <w:p>
            <w:r>
              <w:t>20.0%</w:t>
            </w:r>
          </w:p>
        </w:tc>
        <w:tc>
          <w:tcPr>
            <w:tcW w:type="dxa" w:w="1080"/>
          </w:tcPr>
          <w:p>
            <w:r>
              <w:t>0.0959</w:t>
            </w:r>
          </w:p>
        </w:tc>
      </w:tr>
      <w:tr>
        <w:tc>
          <w:tcPr>
            <w:tcW w:type="dxa" w:w="1080"/>
          </w:tcPr>
          <w:p>
            <w:r>
              <w:t>R5 营收增速 Top20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-0.64%</w:t>
            </w:r>
          </w:p>
        </w:tc>
        <w:tc>
          <w:tcPr>
            <w:tcW w:type="dxa" w:w="1080"/>
          </w:tcPr>
          <w:p>
            <w:r>
              <w:t>-3.41%</w:t>
            </w:r>
          </w:p>
        </w:tc>
        <w:tc>
          <w:tcPr>
            <w:tcW w:type="dxa" w:w="1080"/>
          </w:tcPr>
          <w:p>
            <w:r>
              <w:t>+2.78%</w:t>
            </w:r>
          </w:p>
        </w:tc>
        <w:tc>
          <w:tcPr>
            <w:tcW w:type="dxa" w:w="1080"/>
          </w:tcPr>
          <w:p>
            <w:r>
              <w:t>35.0%</w:t>
            </w:r>
          </w:p>
        </w:tc>
        <w:tc>
          <w:tcPr>
            <w:tcW w:type="dxa" w:w="1080"/>
          </w:tcPr>
          <w:p>
            <w:r>
              <w:t>-0.0113</w:t>
            </w:r>
          </w:p>
        </w:tc>
      </w:tr>
      <w:tr>
        <w:tc>
          <w:tcPr>
            <w:tcW w:type="dxa" w:w="1080"/>
          </w:tcPr>
          <w:p>
            <w:r>
              <w:t>R6 毛利率 Top20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-5.53%</w:t>
            </w:r>
          </w:p>
        </w:tc>
        <w:tc>
          <w:tcPr>
            <w:tcW w:type="dxa" w:w="1080"/>
          </w:tcPr>
          <w:p>
            <w:r>
              <w:t>-3.41%</w:t>
            </w:r>
          </w:p>
        </w:tc>
        <w:tc>
          <w:tcPr>
            <w:tcW w:type="dxa" w:w="1080"/>
          </w:tcPr>
          <w:p>
            <w:r>
              <w:t>-2.12%</w:t>
            </w:r>
          </w:p>
        </w:tc>
        <w:tc>
          <w:tcPr>
            <w:tcW w:type="dxa" w:w="1080"/>
          </w:tcPr>
          <w:p>
            <w:r>
              <w:t>10.0%</w:t>
            </w:r>
          </w:p>
        </w:tc>
        <w:tc>
          <w:tcPr>
            <w:tcW w:type="dxa" w:w="1080"/>
          </w:tcPr>
          <w:p>
            <w:r>
              <w:t>-0.1204</w:t>
            </w:r>
          </w:p>
        </w:tc>
      </w:tr>
      <w:tr>
        <w:tc>
          <w:tcPr>
            <w:tcW w:type="dxa" w:w="1080"/>
          </w:tcPr>
          <w:p>
            <w:r>
              <w:t>R7 综合分 Top20（剔除亏损/暴雷）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+0.09%</w:t>
            </w:r>
          </w:p>
        </w:tc>
        <w:tc>
          <w:tcPr>
            <w:tcW w:type="dxa" w:w="1080"/>
          </w:tcPr>
          <w:p>
            <w:r>
              <w:t>-3.41%</w:t>
            </w:r>
          </w:p>
        </w:tc>
        <w:tc>
          <w:tcPr>
            <w:tcW w:type="dxa" w:w="1080"/>
          </w:tcPr>
          <w:p>
            <w:r>
              <w:t>+3.50%</w:t>
            </w:r>
          </w:p>
        </w:tc>
        <w:tc>
          <w:tcPr>
            <w:tcW w:type="dxa" w:w="1080"/>
          </w:tcPr>
          <w:p>
            <w:r>
              <w:t>35.0%</w:t>
            </w:r>
          </w:p>
        </w:tc>
        <w:tc>
          <w:tcPr>
            <w:tcW w:type="dxa" w:w="1080"/>
          </w:tcPr>
          <w:p>
            <w:r>
              <w:t>-0.0393</w:t>
            </w:r>
          </w:p>
        </w:tc>
      </w:tr>
      <w:tr>
        <w:tc>
          <w:tcPr>
            <w:tcW w:type="dxa" w:w="1080"/>
          </w:tcPr>
          <w:p>
            <w:r>
              <w:t>R8 综合分 Top20（ROE&gt;=10）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-2.48%</w:t>
            </w:r>
          </w:p>
        </w:tc>
        <w:tc>
          <w:tcPr>
            <w:tcW w:type="dxa" w:w="1080"/>
          </w:tcPr>
          <w:p>
            <w:r>
              <w:t>-3.41%</w:t>
            </w:r>
          </w:p>
        </w:tc>
        <w:tc>
          <w:tcPr>
            <w:tcW w:type="dxa" w:w="1080"/>
          </w:tcPr>
          <w:p>
            <w:r>
              <w:t>+0.93%</w:t>
            </w:r>
          </w:p>
        </w:tc>
        <w:tc>
          <w:tcPr>
            <w:tcW w:type="dxa" w:w="1080"/>
          </w:tcPr>
          <w:p>
            <w:r>
              <w:t>20.0%</w:t>
            </w:r>
          </w:p>
        </w:tc>
        <w:tc>
          <w:tcPr>
            <w:tcW w:type="dxa" w:w="1080"/>
          </w:tcPr>
          <w:p>
            <w:r>
              <w:t>-0.0393</w:t>
            </w:r>
          </w:p>
        </w:tc>
      </w:tr>
      <w:tr>
        <w:tc>
          <w:tcPr>
            <w:tcW w:type="dxa" w:w="1080"/>
          </w:tcPr>
          <w:p>
            <w:r>
              <w:t>R9 综合分 Top10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-0.17%</w:t>
            </w:r>
          </w:p>
        </w:tc>
        <w:tc>
          <w:tcPr>
            <w:tcW w:type="dxa" w:w="1080"/>
          </w:tcPr>
          <w:p>
            <w:r>
              <w:t>-3.41%</w:t>
            </w:r>
          </w:p>
        </w:tc>
        <w:tc>
          <w:tcPr>
            <w:tcW w:type="dxa" w:w="1080"/>
          </w:tcPr>
          <w:p>
            <w:r>
              <w:t>+3.24%</w:t>
            </w:r>
          </w:p>
        </w:tc>
        <w:tc>
          <w:tcPr>
            <w:tcW w:type="dxa" w:w="1080"/>
          </w:tcPr>
          <w:p>
            <w:r>
              <w:t>40.0%</w:t>
            </w:r>
          </w:p>
        </w:tc>
        <w:tc>
          <w:tcPr>
            <w:tcW w:type="dxa" w:w="1080"/>
          </w:tcPr>
          <w:p>
            <w:r>
              <w:t>-0.0393</w:t>
            </w:r>
          </w:p>
        </w:tc>
      </w:tr>
      <w:tr>
        <w:tc>
          <w:tcPr>
            <w:tcW w:type="dxa" w:w="1080"/>
          </w:tcPr>
          <w:p>
            <w:r>
              <w:t>R10 综合分 Top20（H=5）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+1.01%</w:t>
            </w:r>
          </w:p>
        </w:tc>
        <w:tc>
          <w:tcPr>
            <w:tcW w:type="dxa" w:w="1080"/>
          </w:tcPr>
          <w:p>
            <w:r>
              <w:t>+0.06%</w:t>
            </w:r>
          </w:p>
        </w:tc>
        <w:tc>
          <w:tcPr>
            <w:tcW w:type="dxa" w:w="1080"/>
          </w:tcPr>
          <w:p>
            <w:r>
              <w:t>+0.96%</w:t>
            </w:r>
          </w:p>
        </w:tc>
        <w:tc>
          <w:tcPr>
            <w:tcW w:type="dxa" w:w="1080"/>
          </w:tcPr>
          <w:p>
            <w:r>
              <w:t>50.0%</w:t>
            </w:r>
          </w:p>
        </w:tc>
        <w:tc>
          <w:tcPr>
            <w:tcW w:type="dxa" w:w="1080"/>
          </w:tcPr>
          <w:p>
            <w:r>
              <w:t>-0.144</w:t>
            </w:r>
          </w:p>
        </w:tc>
      </w:tr>
    </w:tbl>
    <w:p>
      <w:pPr>
        <w:pStyle w:val="Heading1"/>
      </w:pPr>
      <w:r>
        <w:t>三、关键发现</w:t>
      </w:r>
    </w:p>
    <w:p>
      <w:pPr>
        <w:pStyle w:val="ListBullet"/>
      </w:pPr>
      <w:r>
        <w:t>该窗口全市场（等权 298 只）下跌 3.4%，属普跌行情</w:t>
      </w:r>
    </w:p>
    <w:p>
      <w:pPr>
        <w:pStyle w:val="ListBullet"/>
      </w:pPr>
      <w:r>
        <w:t>综合分 Top20（R2）逆势 +0.6%，超额 +4.0pp；Top10（R9）命中率升至 40%</w:t>
      </w:r>
    </w:p>
    <w:p>
      <w:pPr>
        <w:pStyle w:val="ListBullet"/>
      </w:pPr>
      <w:r>
        <w:t>ROE 因子 IC = +0.096（唯一正 IC），毛利率 IC = -0.12（负）——质量因子优于成长因子</w:t>
      </w:r>
    </w:p>
    <w:p>
      <w:pPr>
        <w:pStyle w:val="ListBullet"/>
      </w:pPr>
      <w:r>
        <w:t>剔除亏损/暴雷（R7）把超额从 +4.0pp 稳定在 +3.5pp</w:t>
      </w:r>
    </w:p>
    <w:p>
      <w:pPr>
        <w:pStyle w:val="ListBullet"/>
      </w:pPr>
      <w:r>
        <w:t>短持有期 H=5（R10）命中率 50% 最高，说明信号偏短线</w:t>
      </w:r>
    </w:p>
    <w:p>
      <w:pPr>
        <w:pStyle w:val="Heading1"/>
      </w:pPr>
      <w:r>
        <w:t>四、Walk-forward 稳健性（5 日持有，4 个入场日，均在披露后）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入场日</w:t>
            </w:r>
          </w:p>
        </w:tc>
        <w:tc>
          <w:tcPr>
            <w:tcW w:type="dxa" w:w="1440"/>
          </w:tcPr>
          <w:p>
            <w:r>
              <w:t>组合收益</w:t>
            </w:r>
          </w:p>
        </w:tc>
        <w:tc>
          <w:tcPr>
            <w:tcW w:type="dxa" w:w="1440"/>
          </w:tcPr>
          <w:p>
            <w:r>
              <w:t>基准</w:t>
            </w:r>
          </w:p>
        </w:tc>
        <w:tc>
          <w:tcPr>
            <w:tcW w:type="dxa" w:w="1440"/>
          </w:tcPr>
          <w:p>
            <w:r>
              <w:t>超额</w:t>
            </w:r>
          </w:p>
        </w:tc>
        <w:tc>
          <w:tcPr>
            <w:tcW w:type="dxa" w:w="1440"/>
          </w:tcPr>
          <w:p>
            <w:r>
              <w:t>命中率</w:t>
            </w:r>
          </w:p>
        </w:tc>
        <w:tc>
          <w:tcPr>
            <w:tcW w:type="dxa" w:w="1440"/>
          </w:tcPr>
          <w:p>
            <w:r>
              <w:t>持仓</w:t>
            </w:r>
          </w:p>
        </w:tc>
      </w:tr>
      <w:tr>
        <w:tc>
          <w:tcPr>
            <w:tcW w:type="dxa" w:w="1440"/>
          </w:tcPr>
          <w:p>
            <w:r>
              <w:t>2026-09-01</w:t>
            </w:r>
          </w:p>
        </w:tc>
        <w:tc>
          <w:tcPr>
            <w:tcW w:type="dxa" w:w="1440"/>
          </w:tcPr>
          <w:p>
            <w:r>
              <w:t>+1.00%</w:t>
            </w:r>
          </w:p>
        </w:tc>
        <w:tc>
          <w:tcPr>
            <w:tcW w:type="dxa" w:w="1440"/>
          </w:tcPr>
          <w:p>
            <w:r>
              <w:t>+0.10%</w:t>
            </w:r>
          </w:p>
        </w:tc>
        <w:tc>
          <w:tcPr>
            <w:tcW w:type="dxa" w:w="1440"/>
          </w:tcPr>
          <w:p>
            <w:r>
              <w:t>+1.00%</w:t>
            </w:r>
          </w:p>
        </w:tc>
        <w:tc>
          <w:tcPr>
            <w:tcW w:type="dxa" w:w="1440"/>
          </w:tcPr>
          <w:p>
            <w:r>
              <w:t>50.0%</w:t>
            </w:r>
          </w:p>
        </w:tc>
        <w:tc>
          <w:tcPr>
            <w:tcW w:type="dxa" w:w="1440"/>
          </w:tcPr>
          <w:p>
            <w:r>
              <w:t>20</w:t>
            </w:r>
          </w:p>
        </w:tc>
      </w:tr>
      <w:tr>
        <w:tc>
          <w:tcPr>
            <w:tcW w:type="dxa" w:w="1440"/>
          </w:tcPr>
          <w:p>
            <w:r>
              <w:t>2026-09-08</w:t>
            </w:r>
          </w:p>
        </w:tc>
        <w:tc>
          <w:tcPr>
            <w:tcW w:type="dxa" w:w="1440"/>
          </w:tcPr>
          <w:p>
            <w:r>
              <w:t>-0.40%</w:t>
            </w:r>
          </w:p>
        </w:tc>
        <w:tc>
          <w:tcPr>
            <w:tcW w:type="dxa" w:w="1440"/>
          </w:tcPr>
          <w:p>
            <w:r>
              <w:t>-3.70%</w:t>
            </w:r>
          </w:p>
        </w:tc>
        <w:tc>
          <w:tcPr>
            <w:tcW w:type="dxa" w:w="1440"/>
          </w:tcPr>
          <w:p>
            <w:r>
              <w:t>+3.30%</w:t>
            </w:r>
          </w:p>
        </w:tc>
        <w:tc>
          <w:tcPr>
            <w:tcW w:type="dxa" w:w="1440"/>
          </w:tcPr>
          <w:p>
            <w:r>
              <w:t>25.0%</w:t>
            </w:r>
          </w:p>
        </w:tc>
        <w:tc>
          <w:tcPr>
            <w:tcW w:type="dxa" w:w="1440"/>
          </w:tcPr>
          <w:p>
            <w:r>
              <w:t>20</w:t>
            </w:r>
          </w:p>
        </w:tc>
      </w:tr>
      <w:tr>
        <w:tc>
          <w:tcPr>
            <w:tcW w:type="dxa" w:w="1440"/>
          </w:tcPr>
          <w:p>
            <w:r>
              <w:t>2026-09-15</w:t>
            </w:r>
          </w:p>
        </w:tc>
        <w:tc>
          <w:tcPr>
            <w:tcW w:type="dxa" w:w="1440"/>
          </w:tcPr>
          <w:p>
            <w:r>
              <w:t>+5.60%</w:t>
            </w:r>
          </w:p>
        </w:tc>
        <w:tc>
          <w:tcPr>
            <w:tcW w:type="dxa" w:w="1440"/>
          </w:tcPr>
          <w:p>
            <w:r>
              <w:t>+5.60%</w:t>
            </w:r>
          </w:p>
        </w:tc>
        <w:tc>
          <w:tcPr>
            <w:tcW w:type="dxa" w:w="1440"/>
          </w:tcPr>
          <w:p>
            <w:r>
              <w:t>-0.10%</w:t>
            </w:r>
          </w:p>
        </w:tc>
        <w:tc>
          <w:tcPr>
            <w:tcW w:type="dxa" w:w="1440"/>
          </w:tcPr>
          <w:p>
            <w:r>
              <w:t>75.0%</w:t>
            </w:r>
          </w:p>
        </w:tc>
        <w:tc>
          <w:tcPr>
            <w:tcW w:type="dxa" w:w="1440"/>
          </w:tcPr>
          <w:p>
            <w:r>
              <w:t>20</w:t>
            </w:r>
          </w:p>
        </w:tc>
      </w:tr>
      <w:tr>
        <w:tc>
          <w:tcPr>
            <w:tcW w:type="dxa" w:w="1440"/>
          </w:tcPr>
          <w:p>
            <w:r>
              <w:t>2026-09-22</w:t>
            </w:r>
          </w:p>
        </w:tc>
        <w:tc>
          <w:tcPr>
            <w:tcW w:type="dxa" w:w="1440"/>
          </w:tcPr>
          <w:p>
            <w:r>
              <w:t>-4.30%</w:t>
            </w:r>
          </w:p>
        </w:tc>
        <w:tc>
          <w:tcPr>
            <w:tcW w:type="dxa" w:w="1440"/>
          </w:tcPr>
          <w:p>
            <w:r>
              <w:t>-2.90%</w:t>
            </w:r>
          </w:p>
        </w:tc>
        <w:tc>
          <w:tcPr>
            <w:tcW w:type="dxa" w:w="1440"/>
          </w:tcPr>
          <w:p>
            <w:r>
              <w:t>-1.30%</w:t>
            </w:r>
          </w:p>
        </w:tc>
        <w:tc>
          <w:tcPr>
            <w:tcW w:type="dxa" w:w="1440"/>
          </w:tcPr>
          <w:p>
            <w:r>
              <w:t>25.0%</w:t>
            </w:r>
          </w:p>
        </w:tc>
        <w:tc>
          <w:tcPr>
            <w:tcW w:type="dxa" w:w="1440"/>
          </w:tcPr>
          <w:p>
            <w:r>
              <w:t>20</w:t>
            </w:r>
          </w:p>
        </w:tc>
      </w:tr>
    </w:tbl>
    <w:p>
      <w:r>
        <w:t>平均超额 +0.7pp，4 个入场日 3 次不输于基准。结论：信号弱正、方向一致，但样本单一，不足以断言显著 alpha。</w:t>
      </w:r>
    </w:p>
    <w:p>
      <w:pPr>
        <w:pStyle w:val="Heading1"/>
      </w:pPr>
      <w:r>
        <w:t>五、结论与局限</w:t>
      </w:r>
    </w:p>
    <w:p>
      <w:pPr>
        <w:pStyle w:val="ListBullet"/>
      </w:pPr>
      <w:r>
        <w:t>在无未来函数约束下，综合分+剔除亏损/暴雷 的策略在普跌窗口中取得约 +3.5~4.0pp 超额，ROE 因子有效、毛利率单因子无效</w:t>
      </w:r>
    </w:p>
    <w:p>
      <w:pPr>
        <w:pStyle w:val="ListBullet"/>
      </w:pPr>
      <w:r>
        <w:t>局限：K 线覆盖与报告期横截面有限；本作品已启动全市场数据回补以扩大样本</w:t>
      </w:r>
    </w:p>
    <w:p>
      <w:pPr>
        <w:pStyle w:val="ListBullet"/>
      </w:pPr>
      <w:r>
        <w:t>后续：跨期 walk-forward + 100 轮随机事件回测（见 06）以获得统计显著性</w:t>
      </w:r>
    </w:p>
    <w:p>
      <w:pPr>
        <w:pStyle w:val="Heading1"/>
      </w:pPr>
      <w:r>
        <w:t>附录：最新进展与诚实结论（请以 08_回测结果 为准）</w:t>
      </w:r>
    </w:p>
    <w:p>
      <w:r>
        <w:t>十轮回测的原始结论（小样本、单横截面）已在后续扩展中被复核。</w:t>
      </w:r>
    </w:p>
    <w:p>
      <w:r>
        <w:t>扩样复核：把 K 线历史从约 1 年扩到约 3 年、每期样本从约 300 只升到约 2,580 只后，同一策略的样本外超额由 +3.54%(3 折) 变为 -2.37%(4 期) —— 原正超额是小样本假象。</w:t>
      </w:r>
    </w:p>
    <w:p>
      <w:r>
        <w:t>基准对比：单因子最好为营收 +0.56%；唯一正向为规模（小市值 +1.38%，属已知 beta）；随机权重均值 -1.17%。</w:t>
      </w:r>
    </w:p>
    <w:p>
      <w:r>
        <w:t>结论：因子策略未通过大样本样本外检验；作品定位为可复现的评估框架，而非 alpha 策略。详见 08_回测结果/H 与评估报告第十二章。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