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回测实验室 · 100 轮随机事件迭代</w:t>
      </w:r>
    </w:p>
    <w:p>
      <w:pPr>
        <w:jc w:val="center"/>
      </w:pPr>
      <w:r>
        <w:rPr>
          <w:color w:val="666666"/>
          <w:sz w:val="24"/>
        </w:rPr>
        <w:t>多报告期财报因子回测（无未来函数）</w:t>
      </w:r>
    </w:p>
    <w:p>
      <w:r>
        <w:t>生成日期：2026-10-07　作者：William-Trader</w:t>
      </w:r>
    </w:p>
    <w:p>
      <w:pPr>
        <w:pStyle w:val="Heading1"/>
      </w:pPr>
      <w:r>
        <w:t>一、方法论（无未来函数铁律）</w:t>
      </w:r>
    </w:p>
    <w:p>
      <w:pPr>
        <w:pStyle w:val="ListBullet"/>
      </w:pPr>
      <w:r>
        <w:t>信号（选股）只用“决策日 T0 及之前已可得”的信息：各报告期的财报快照</w:t>
      </w:r>
    </w:p>
    <w:p>
      <w:pPr>
        <w:pStyle w:val="ListBullet"/>
      </w:pPr>
      <w:r>
        <w:t>T0 取该报告期法定披露截止后的首个交易日；收益只用 T0 之后的前复权 K 线</w:t>
      </w:r>
    </w:p>
    <w:p>
      <w:pPr>
        <w:pStyle w:val="ListBullet"/>
      </w:pPr>
      <w:r>
        <w:t>信号与收益时间严格不重叠 —— 阻断一切未来函数</w:t>
      </w:r>
    </w:p>
    <w:p>
      <w:pPr>
        <w:pStyle w:val="ListBullet"/>
      </w:pPr>
      <w:r>
        <w:t>每个报告期独立取 T0，跨 7 个报告期做 walk-forward</w:t>
      </w:r>
    </w:p>
    <w:p>
      <w:pPr>
        <w:pStyle w:val="Heading1"/>
      </w:pPr>
      <w:r>
        <w:t>二、数据</w:t>
      </w:r>
    </w:p>
    <w:p>
      <w:r>
        <w:t>报告期：20240930、20241231、20250331、20250630、20250930、20251231、20260630（共 7 期）。</w:t>
      </w:r>
    </w:p>
    <w:p>
      <w:r>
        <w:t>每个报告期可评估样本约 320 余只（受前复权 K 线覆盖限制）。随机采样维度：报告期 × 持有期(5/10/20/40 日) × 因子 × 过滤(无/非亏损/非暴雷/ROE&gt;=10) × 持仓数(10/20/30)。</w:t>
      </w:r>
    </w:p>
    <w:p>
      <w:pPr>
        <w:pStyle w:val="Heading1"/>
      </w:pPr>
      <w:r>
        <w:t>三、100 轮结果总览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有效轮次</w:t>
            </w:r>
          </w:p>
        </w:tc>
        <w:tc>
          <w:tcPr>
            <w:tcW w:type="dxa" w:w="4320"/>
          </w:tcPr>
          <w:p>
            <w:r>
              <w:t>81</w:t>
            </w:r>
          </w:p>
        </w:tc>
      </w:tr>
      <w:tr>
        <w:tc>
          <w:tcPr>
            <w:tcW w:type="dxa" w:w="4320"/>
          </w:tcPr>
          <w:p>
            <w:r>
              <w:t>平均超额（vs 等权基准）</w:t>
            </w:r>
          </w:p>
        </w:tc>
        <w:tc>
          <w:tcPr>
            <w:tcW w:type="dxa" w:w="4320"/>
          </w:tcPr>
          <w:p>
            <w:r>
              <w:t>+1.34%</w:t>
            </w:r>
          </w:p>
        </w:tc>
      </w:tr>
      <w:tr>
        <w:tc>
          <w:tcPr>
            <w:tcW w:type="dxa" w:w="4320"/>
          </w:tcPr>
          <w:p>
            <w:r>
              <w:t>胜率（超额&gt;0）</w:t>
            </w:r>
          </w:p>
        </w:tc>
        <w:tc>
          <w:tcPr>
            <w:tcW w:type="dxa" w:w="4320"/>
          </w:tcPr>
          <w:p>
            <w:r>
              <w:t>56.8%</w:t>
            </w:r>
          </w:p>
        </w:tc>
      </w:tr>
      <w:tr>
        <w:tc>
          <w:tcPr>
            <w:tcW w:type="dxa" w:w="4320"/>
          </w:tcPr>
          <w:p>
            <w:r>
              <w:t>平均 IC（因子秩相关）</w:t>
            </w:r>
          </w:p>
        </w:tc>
        <w:tc>
          <w:tcPr>
            <w:tcW w:type="dxa" w:w="4320"/>
          </w:tcPr>
          <w:p>
            <w:r>
              <w:t>0.0188</w:t>
            </w:r>
          </w:p>
        </w:tc>
      </w:tr>
      <w:tr>
        <w:tc>
          <w:tcPr>
            <w:tcW w:type="dxa" w:w="4320"/>
          </w:tcPr>
          <w:p>
            <w:r>
              <w:t>覆盖报告期数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>
      <w:pPr>
        <w:pStyle w:val="Heading1"/>
      </w:pPr>
      <w:r>
        <w:t>四、按因子 · 平均超额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因子</w:t>
            </w:r>
          </w:p>
        </w:tc>
        <w:tc>
          <w:tcPr>
            <w:tcW w:type="dxa" w:w="2880"/>
          </w:tcPr>
          <w:p>
            <w:r>
              <w:t>平均超额</w:t>
            </w:r>
          </w:p>
        </w:tc>
        <w:tc>
          <w:tcPr>
            <w:tcW w:type="dxa" w:w="2880"/>
          </w:tcPr>
          <w:p>
            <w:r>
              <w:t>样本轮次</w:t>
            </w:r>
          </w:p>
        </w:tc>
      </w:tr>
      <w:tr>
        <w:tc>
          <w:tcPr>
            <w:tcW w:type="dxa" w:w="2880"/>
          </w:tcPr>
          <w:p>
            <w:r>
              <w:t>mfac</w:t>
            </w:r>
          </w:p>
        </w:tc>
        <w:tc>
          <w:tcPr>
            <w:tcW w:type="dxa" w:w="2880"/>
          </w:tcPr>
          <w:p>
            <w:r>
              <w:t>+3.25%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rev_yoy</w:t>
            </w:r>
          </w:p>
        </w:tc>
        <w:tc>
          <w:tcPr>
            <w:tcW w:type="dxa" w:w="2880"/>
          </w:tcPr>
          <w:p>
            <w:r>
              <w:t>+3.14%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np_yoy</w:t>
            </w:r>
          </w:p>
        </w:tc>
        <w:tc>
          <w:tcPr>
            <w:tcW w:type="dxa" w:w="2880"/>
          </w:tcPr>
          <w:p>
            <w:r>
              <w:t>+1.32%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gm</w:t>
            </w:r>
          </w:p>
        </w:tc>
        <w:tc>
          <w:tcPr>
            <w:tcW w:type="dxa" w:w="2880"/>
          </w:tcPr>
          <w:p>
            <w:r>
              <w:t>-0.85%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roe</w:t>
            </w:r>
          </w:p>
        </w:tc>
        <w:tc>
          <w:tcPr>
            <w:tcW w:type="dxa" w:w="2880"/>
          </w:tcPr>
          <w:p>
            <w:r>
              <w:t>-2.24%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</w:tbl>
    <w:p>
      <w:r>
        <w:t>结论：综合分（净利35/营收25/ROE25/毛利15 的 z 分数加权）与营收增速最有效；ROE 单因子在样本期偏负，说明高质量蓝筹在该期跑输。</w:t>
      </w:r>
    </w:p>
    <w:p>
      <w:pPr>
        <w:pStyle w:val="Heading1"/>
      </w:pPr>
      <w:r>
        <w:t>五、按报告期 · 平均超额（walk-forward）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报告期</w:t>
            </w:r>
          </w:p>
        </w:tc>
        <w:tc>
          <w:tcPr>
            <w:tcW w:type="dxa" w:w="2880"/>
          </w:tcPr>
          <w:p>
            <w:r>
              <w:t>平均超额</w:t>
            </w:r>
          </w:p>
        </w:tc>
        <w:tc>
          <w:tcPr>
            <w:tcW w:type="dxa" w:w="2880"/>
          </w:tcPr>
          <w:p>
            <w:r>
              <w:t>样本轮次</w:t>
            </w:r>
          </w:p>
        </w:tc>
      </w:tr>
      <w:tr>
        <w:tc>
          <w:tcPr>
            <w:tcW w:type="dxa" w:w="2880"/>
          </w:tcPr>
          <w:p>
            <w:r>
              <w:t>20240930</w:t>
            </w:r>
          </w:p>
        </w:tc>
        <w:tc>
          <w:tcPr>
            <w:tcW w:type="dxa" w:w="2880"/>
          </w:tcPr>
          <w:p>
            <w:r>
              <w:t>-1.00%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20241231</w:t>
            </w:r>
          </w:p>
        </w:tc>
        <w:tc>
          <w:tcPr>
            <w:tcW w:type="dxa" w:w="2880"/>
          </w:tcPr>
          <w:p>
            <w:r>
              <w:t>-3.07%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20250331</w:t>
            </w:r>
          </w:p>
        </w:tc>
        <w:tc>
          <w:tcPr>
            <w:tcW w:type="dxa" w:w="2880"/>
          </w:tcPr>
          <w:p>
            <w:r>
              <w:t>-1.18%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20250630</w:t>
            </w:r>
          </w:p>
        </w:tc>
        <w:tc>
          <w:tcPr>
            <w:tcW w:type="dxa" w:w="2880"/>
          </w:tcPr>
          <w:p>
            <w:r>
              <w:t>+0.26%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20250930</w:t>
            </w:r>
          </w:p>
        </w:tc>
        <w:tc>
          <w:tcPr>
            <w:tcW w:type="dxa" w:w="2880"/>
          </w:tcPr>
          <w:p>
            <w:r>
              <w:t>+3.45%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20251231</w:t>
            </w:r>
          </w:p>
        </w:tc>
        <w:tc>
          <w:tcPr>
            <w:tcW w:type="dxa" w:w="2880"/>
          </w:tcPr>
          <w:p>
            <w:r>
              <w:t>+8.60%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20260630</w:t>
            </w:r>
          </w:p>
        </w:tc>
        <w:tc>
          <w:tcPr>
            <w:tcW w:type="dxa" w:w="2880"/>
          </w:tcPr>
          <w:p>
            <w:r>
              <w:t>+1.04%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p>
      <w:pPr>
        <w:pStyle w:val="Heading1"/>
      </w:pPr>
      <w:r>
        <w:t>六、最优策略 Top（按报告期）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报告期</w:t>
            </w:r>
          </w:p>
        </w:tc>
        <w:tc>
          <w:tcPr>
            <w:tcW w:type="dxa" w:w="1728"/>
          </w:tcPr>
          <w:p>
            <w:r>
              <w:t>因子</w:t>
            </w:r>
          </w:p>
        </w:tc>
        <w:tc>
          <w:tcPr>
            <w:tcW w:type="dxa" w:w="1728"/>
          </w:tcPr>
          <w:p>
            <w:r>
              <w:t>过滤</w:t>
            </w:r>
          </w:p>
        </w:tc>
        <w:tc>
          <w:tcPr>
            <w:tcW w:type="dxa" w:w="1728"/>
          </w:tcPr>
          <w:p>
            <w:r>
              <w:t>持仓</w:t>
            </w:r>
          </w:p>
        </w:tc>
        <w:tc>
          <w:tcPr>
            <w:tcW w:type="dxa" w:w="1728"/>
          </w:tcPr>
          <w:p>
            <w:r>
              <w:t>平均超额</w:t>
            </w:r>
          </w:p>
        </w:tc>
      </w:tr>
      <w:tr>
        <w:tc>
          <w:tcPr>
            <w:tcW w:type="dxa" w:w="1728"/>
          </w:tcPr>
          <w:p>
            <w:r>
              <w:t>20251231</w:t>
            </w:r>
          </w:p>
        </w:tc>
        <w:tc>
          <w:tcPr>
            <w:tcW w:type="dxa" w:w="1728"/>
          </w:tcPr>
          <w:p>
            <w:r>
              <w:t>mfac</w:t>
            </w:r>
          </w:p>
        </w:tc>
        <w:tc>
          <w:tcPr>
            <w:tcW w:type="dxa" w:w="1728"/>
          </w:tcPr>
          <w:p>
            <w:r>
              <w:t>非暴雷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+24.21%</w:t>
            </w:r>
          </w:p>
        </w:tc>
      </w:tr>
      <w:tr>
        <w:tc>
          <w:tcPr>
            <w:tcW w:type="dxa" w:w="1728"/>
          </w:tcPr>
          <w:p>
            <w:r>
              <w:t>20251231</w:t>
            </w:r>
          </w:p>
        </w:tc>
        <w:tc>
          <w:tcPr>
            <w:tcW w:type="dxa" w:w="1728"/>
          </w:tcPr>
          <w:p>
            <w:r>
              <w:t>mfac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+24.21%</w:t>
            </w:r>
          </w:p>
        </w:tc>
      </w:tr>
      <w:tr>
        <w:tc>
          <w:tcPr>
            <w:tcW w:type="dxa" w:w="1728"/>
          </w:tcPr>
          <w:p>
            <w:r>
              <w:t>20251231</w:t>
            </w:r>
          </w:p>
        </w:tc>
        <w:tc>
          <w:tcPr>
            <w:tcW w:type="dxa" w:w="1728"/>
          </w:tcPr>
          <w:p>
            <w:r>
              <w:t>mfac</w:t>
            </w:r>
          </w:p>
        </w:tc>
        <w:tc>
          <w:tcPr>
            <w:tcW w:type="dxa" w:w="1728"/>
          </w:tcPr>
          <w:p>
            <w:r>
              <w:t>非亏损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+18.17%</w:t>
            </w:r>
          </w:p>
        </w:tc>
      </w:tr>
      <w:tr>
        <w:tc>
          <w:tcPr>
            <w:tcW w:type="dxa" w:w="1728"/>
          </w:tcPr>
          <w:p>
            <w:r>
              <w:t>20251231</w:t>
            </w:r>
          </w:p>
        </w:tc>
        <w:tc>
          <w:tcPr>
            <w:tcW w:type="dxa" w:w="1728"/>
          </w:tcPr>
          <w:p>
            <w:r>
              <w:t>rev_yoy</w:t>
            </w:r>
          </w:p>
        </w:tc>
        <w:tc>
          <w:tcPr>
            <w:tcW w:type="dxa" w:w="1728"/>
          </w:tcPr>
          <w:p>
            <w:r>
              <w:t>非暴雷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+15.90%</w:t>
            </w:r>
          </w:p>
        </w:tc>
      </w:tr>
      <w:tr>
        <w:tc>
          <w:tcPr>
            <w:tcW w:type="dxa" w:w="1728"/>
          </w:tcPr>
          <w:p>
            <w:r>
              <w:t>20251231</w:t>
            </w:r>
          </w:p>
        </w:tc>
        <w:tc>
          <w:tcPr>
            <w:tcW w:type="dxa" w:w="1728"/>
          </w:tcPr>
          <w:p>
            <w:r>
              <w:t>mfac</w:t>
            </w:r>
          </w:p>
        </w:tc>
        <w:tc>
          <w:tcPr>
            <w:tcW w:type="dxa" w:w="1728"/>
          </w:tcPr>
          <w:p>
            <w:r>
              <w:t>ROE&gt;=10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+11.25%</w:t>
            </w:r>
          </w:p>
        </w:tc>
      </w:tr>
      <w:tr>
        <w:tc>
          <w:tcPr>
            <w:tcW w:type="dxa" w:w="1728"/>
          </w:tcPr>
          <w:p>
            <w:r>
              <w:t>20250930</w:t>
            </w:r>
          </w:p>
        </w:tc>
        <w:tc>
          <w:tcPr>
            <w:tcW w:type="dxa" w:w="1728"/>
          </w:tcPr>
          <w:p>
            <w:r>
              <w:t>np_yoy</w:t>
            </w:r>
          </w:p>
        </w:tc>
        <w:tc>
          <w:tcPr>
            <w:tcW w:type="dxa" w:w="1728"/>
          </w:tcPr>
          <w:p>
            <w:r>
              <w:t>ROE&gt;=10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+9.60%</w:t>
            </w:r>
          </w:p>
        </w:tc>
      </w:tr>
      <w:tr>
        <w:tc>
          <w:tcPr>
            <w:tcW w:type="dxa" w:w="1728"/>
          </w:tcPr>
          <w:p>
            <w:r>
              <w:t>20251231</w:t>
            </w:r>
          </w:p>
        </w:tc>
        <w:tc>
          <w:tcPr>
            <w:tcW w:type="dxa" w:w="1728"/>
          </w:tcPr>
          <w:p>
            <w:r>
              <w:t>rev_yoy</w:t>
            </w:r>
          </w:p>
        </w:tc>
        <w:tc>
          <w:tcPr>
            <w:tcW w:type="dxa" w:w="1728"/>
          </w:tcPr>
          <w:p>
            <w:r>
              <w:t>非亏损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+8.32%</w:t>
            </w:r>
          </w:p>
        </w:tc>
      </w:tr>
      <w:tr>
        <w:tc>
          <w:tcPr>
            <w:tcW w:type="dxa" w:w="1728"/>
          </w:tcPr>
          <w:p>
            <w:r>
              <w:t>20250930</w:t>
            </w:r>
          </w:p>
        </w:tc>
        <w:tc>
          <w:tcPr>
            <w:tcW w:type="dxa" w:w="1728"/>
          </w:tcPr>
          <w:p>
            <w:r>
              <w:t>mfac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+7.61%</w:t>
            </w:r>
          </w:p>
        </w:tc>
      </w:tr>
      <w:tr>
        <w:tc>
          <w:tcPr>
            <w:tcW w:type="dxa" w:w="1728"/>
          </w:tcPr>
          <w:p>
            <w:r>
              <w:t>20250930</w:t>
            </w:r>
          </w:p>
        </w:tc>
        <w:tc>
          <w:tcPr>
            <w:tcW w:type="dxa" w:w="1728"/>
          </w:tcPr>
          <w:p>
            <w:r>
              <w:t>roe</w:t>
            </w:r>
          </w:p>
        </w:tc>
        <w:tc>
          <w:tcPr>
            <w:tcW w:type="dxa" w:w="1728"/>
          </w:tcPr>
          <w:p>
            <w:r>
              <w:t>ROE&gt;=10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+5.09%</w:t>
            </w:r>
          </w:p>
        </w:tc>
      </w:tr>
      <w:tr>
        <w:tc>
          <w:tcPr>
            <w:tcW w:type="dxa" w:w="1728"/>
          </w:tcPr>
          <w:p>
            <w:r>
              <w:t>20250630</w:t>
            </w:r>
          </w:p>
        </w:tc>
        <w:tc>
          <w:tcPr>
            <w:tcW w:type="dxa" w:w="1728"/>
          </w:tcPr>
          <w:p>
            <w:r>
              <w:t>mfac</w:t>
            </w:r>
          </w:p>
        </w:tc>
        <w:tc>
          <w:tcPr>
            <w:tcW w:type="dxa" w:w="1728"/>
          </w:tcPr>
          <w:p>
            <w:r>
              <w:t>非亏损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+4.55%</w:t>
            </w:r>
          </w:p>
        </w:tc>
      </w:tr>
      <w:tr>
        <w:tc>
          <w:tcPr>
            <w:tcW w:type="dxa" w:w="1728"/>
          </w:tcPr>
          <w:p>
            <w:r>
              <w:t>20250930</w:t>
            </w:r>
          </w:p>
        </w:tc>
        <w:tc>
          <w:tcPr>
            <w:tcW w:type="dxa" w:w="1728"/>
          </w:tcPr>
          <w:p>
            <w:r>
              <w:t>mfac</w:t>
            </w:r>
          </w:p>
        </w:tc>
        <w:tc>
          <w:tcPr>
            <w:tcW w:type="dxa" w:w="1728"/>
          </w:tcPr>
          <w:p>
            <w:r>
              <w:t>非亏损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+4.38%</w:t>
            </w:r>
          </w:p>
        </w:tc>
      </w:tr>
      <w:tr>
        <w:tc>
          <w:tcPr>
            <w:tcW w:type="dxa" w:w="1728"/>
          </w:tcPr>
          <w:p>
            <w:r>
              <w:t>20240930</w:t>
            </w:r>
          </w:p>
        </w:tc>
        <w:tc>
          <w:tcPr>
            <w:tcW w:type="dxa" w:w="1728"/>
          </w:tcPr>
          <w:p>
            <w:r>
              <w:t>np_yoy</w:t>
            </w:r>
          </w:p>
        </w:tc>
        <w:tc>
          <w:tcPr>
            <w:tcW w:type="dxa" w:w="1728"/>
          </w:tcPr>
          <w:p>
            <w:r>
              <w:t>ROE&gt;=10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+4.03%</w:t>
            </w:r>
          </w:p>
        </w:tc>
      </w:tr>
    </w:tbl>
    <w:p>
      <w:pPr>
        <w:pStyle w:val="Heading1"/>
      </w:pPr>
      <w:r>
        <w:t>七、迭代轨迹（best-so-far 超额）</w:t>
      </w:r>
    </w:p>
    <w:p>
      <w:r>
        <w:t>共 81 个采样点，最优超额从最初逐步抬升到 +24.21%，说明随机搜索在收敛。</w:t>
      </w:r>
    </w:p>
    <w:p>
      <w:pPr>
        <w:pStyle w:val="Heading1"/>
      </w:pPr>
      <w:r>
        <w:t>八、结论与局限</w:t>
      </w:r>
    </w:p>
    <w:p>
      <w:pPr>
        <w:pStyle w:val="ListBullet"/>
      </w:pPr>
      <w:r>
        <w:t>在无未来函数约束下，综合分因子跨 7 个报告期的平均超额为正（+3.25%），全样本平均超额 +1.34%，胜率 56.8%，方向稳定</w:t>
      </w:r>
    </w:p>
    <w:p>
      <w:pPr>
        <w:pStyle w:val="ListBullet"/>
      </w:pPr>
      <w:r>
        <w:t>局限：前复权 K 线覆盖仍有限（每期约 320 只），样本量不足以断言长期显著 alpha</w:t>
      </w:r>
    </w:p>
    <w:p>
      <w:pPr>
        <w:pStyle w:val="ListBullet"/>
      </w:pPr>
      <w:r>
        <w:t>后续：扩大 K 线全覆盖（本次已启动全量同步）与更多报告期，可获得统计显著性</w:t>
      </w:r>
    </w:p>
    <w:p>
      <w:pPr>
        <w:pStyle w:val="Heading1"/>
      </w:pPr>
      <w:r>
        <w:t>附录：最新进展与诚实结论</w:t>
      </w:r>
    </w:p>
    <w:p>
      <w:r>
        <w:t>100 轮随机事件回测给出的是「分布」而非单一结论；其平均超额在样本扩大后同样收敛到 0 附近。</w:t>
      </w:r>
    </w:p>
    <w:p>
      <w:r>
        <w:t>方法学提醒：留一/交叉验证必须每折重拟合；固定权重平均各期得到的 CV 恒等于样本内（曾实测 30 组配置一字不差）。</w:t>
      </w:r>
    </w:p>
    <w:p>
      <w:r>
        <w:t>报告口径必须给：有效折数 + 留出超额 + 折胜率 + t 统计量，并标注未达显著处。详见 04_功能设计详解/09 与 08/F、08/H、08/I。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