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财报智能体 · 回测与效力验证报告</w:t>
      </w:r>
    </w:p>
    <w:p>
      <w:pPr>
        <w:jc w:val="center"/>
      </w:pPr>
      <w:r>
        <w:rPr>
          <w:color w:val="666666"/>
          <w:sz w:val="24"/>
        </w:rPr>
        <w:t>选题方向：上市公司财务报告分析</w:t>
      </w:r>
    </w:p>
    <w:p>
      <w:r>
        <w:t>生成日期：2026-10-08　作者：William-Trader</w:t>
      </w:r>
    </w:p>
    <w:p>
      <w:pPr>
        <w:pStyle w:val="Heading1"/>
      </w:pPr>
      <w:r>
        <w:t>一、方法论（无未来函数铁律）</w:t>
      </w:r>
    </w:p>
    <w:p>
      <w:pPr>
        <w:pStyle w:val="ListBullet"/>
      </w:pPr>
      <w:r>
        <w:t>信号只用“决策日 T0 及之前已可得”的信息：各报告期披露后的财报快照</w:t>
      </w:r>
    </w:p>
    <w:p>
      <w:pPr>
        <w:pStyle w:val="ListBullet"/>
      </w:pPr>
      <w:r>
        <w:t>收益只用“T0 之后”的前复权 K 线；二者时间严格不重叠，杜绝未来函数</w:t>
      </w:r>
    </w:p>
    <w:p>
      <w:pPr>
        <w:pStyle w:val="ListBullet"/>
      </w:pPr>
      <w:r>
        <w:t>T0 = 报告期法定披露截止后的首个交易日；持有 H 个交易日</w:t>
      </w:r>
    </w:p>
    <w:p>
      <w:pPr>
        <w:pStyle w:val="ListBullet"/>
      </w:pPr>
      <w:r>
        <w:t>五部分：十轮策略回测 / 100 轮随机事件 / 400 轮效力验证 / 造假案例验证 / 策略优化（留一法交叉验证）</w:t>
      </w:r>
    </w:p>
    <w:p>
      <w:pPr>
        <w:pStyle w:val="Heading1"/>
      </w:pPr>
      <w:r>
        <w:t>二、十轮策略回测（T0=2026-09-01）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轮次/策略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持仓</w:t>
            </w:r>
          </w:p>
        </w:tc>
        <w:tc>
          <w:tcPr>
            <w:tcW w:type="dxa" w:w="1080"/>
          </w:tcPr>
          <w:p>
            <w:r>
              <w:t>组合收益%</w:t>
            </w:r>
          </w:p>
        </w:tc>
        <w:tc>
          <w:tcPr>
            <w:tcW w:type="dxa" w:w="1080"/>
          </w:tcPr>
          <w:p>
            <w:r>
              <w:t>基准%</w:t>
            </w:r>
          </w:p>
        </w:tc>
        <w:tc>
          <w:tcPr>
            <w:tcW w:type="dxa" w:w="1080"/>
          </w:tcPr>
          <w:p>
            <w:r>
              <w:t>超额%</w:t>
            </w:r>
          </w:p>
        </w:tc>
        <w:tc>
          <w:tcPr>
            <w:tcW w:type="dxa" w:w="1080"/>
          </w:tcPr>
          <w:p>
            <w:r>
              <w:t>命中率%</w:t>
            </w:r>
          </w:p>
        </w:tc>
        <w:tc>
          <w:tcPr>
            <w:tcW w:type="dxa" w:w="1080"/>
          </w:tcPr>
          <w:p>
            <w:r>
              <w:t>IC</w:t>
            </w:r>
          </w:p>
        </w:tc>
      </w:tr>
      <w:tr>
        <w:tc>
          <w:tcPr>
            <w:tcW w:type="dxa" w:w="1080"/>
          </w:tcPr>
          <w:p>
            <w:r>
              <w:t>R1 基准：全市场等权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298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21.1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R2 综合分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3.97</w:t>
            </w:r>
          </w:p>
        </w:tc>
        <w:tc>
          <w:tcPr>
            <w:tcW w:type="dxa" w:w="1080"/>
          </w:tcPr>
          <w:p>
            <w:r>
              <w:t>35.0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R3 净利增速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-2.92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-0.0057</w:t>
            </w:r>
          </w:p>
        </w:tc>
      </w:tr>
      <w:tr>
        <w:tc>
          <w:tcPr>
            <w:tcW w:type="dxa" w:w="1080"/>
          </w:tcPr>
          <w:p>
            <w:r>
              <w:t>R4 ROE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-3.39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0.03</w:t>
            </w:r>
          </w:p>
        </w:tc>
        <w:tc>
          <w:tcPr>
            <w:tcW w:type="dxa" w:w="1080"/>
          </w:tcPr>
          <w:p>
            <w:r>
              <w:t>20.0</w:t>
            </w:r>
          </w:p>
        </w:tc>
        <w:tc>
          <w:tcPr>
            <w:tcW w:type="dxa" w:w="1080"/>
          </w:tcPr>
          <w:p>
            <w:r>
              <w:t>0.0959</w:t>
            </w:r>
          </w:p>
        </w:tc>
      </w:tr>
      <w:tr>
        <w:tc>
          <w:tcPr>
            <w:tcW w:type="dxa" w:w="1080"/>
          </w:tcPr>
          <w:p>
            <w:r>
              <w:t>R5 营收增速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-0.64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2.78</w:t>
            </w:r>
          </w:p>
        </w:tc>
        <w:tc>
          <w:tcPr>
            <w:tcW w:type="dxa" w:w="1080"/>
          </w:tcPr>
          <w:p>
            <w:r>
              <w:t>35.0</w:t>
            </w:r>
          </w:p>
        </w:tc>
        <w:tc>
          <w:tcPr>
            <w:tcW w:type="dxa" w:w="1080"/>
          </w:tcPr>
          <w:p>
            <w:r>
              <w:t>-0.0113</w:t>
            </w:r>
          </w:p>
        </w:tc>
      </w:tr>
      <w:tr>
        <w:tc>
          <w:tcPr>
            <w:tcW w:type="dxa" w:w="1080"/>
          </w:tcPr>
          <w:p>
            <w:r>
              <w:t>R6 毛利率 Top20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-5.53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-2.12</w:t>
            </w:r>
          </w:p>
        </w:tc>
        <w:tc>
          <w:tcPr>
            <w:tcW w:type="dxa" w:w="1080"/>
          </w:tcPr>
          <w:p>
            <w:r>
              <w:t>10.0</w:t>
            </w:r>
          </w:p>
        </w:tc>
        <w:tc>
          <w:tcPr>
            <w:tcW w:type="dxa" w:w="1080"/>
          </w:tcPr>
          <w:p>
            <w:r>
              <w:t>-0.1204</w:t>
            </w:r>
          </w:p>
        </w:tc>
      </w:tr>
      <w:tr>
        <w:tc>
          <w:tcPr>
            <w:tcW w:type="dxa" w:w="1080"/>
          </w:tcPr>
          <w:p>
            <w:r>
              <w:t>R7 综合分 Top20（剔除亏损/暴雷）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0.09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35.0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R8 综合分 Top20（ROE&gt;=10）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-2.48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0.93</w:t>
            </w:r>
          </w:p>
        </w:tc>
        <w:tc>
          <w:tcPr>
            <w:tcW w:type="dxa" w:w="1080"/>
          </w:tcPr>
          <w:p>
            <w:r>
              <w:t>20.0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R9 综合分 Top10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-0.17</w:t>
            </w:r>
          </w:p>
        </w:tc>
        <w:tc>
          <w:tcPr>
            <w:tcW w:type="dxa" w:w="1080"/>
          </w:tcPr>
          <w:p>
            <w:r>
              <w:t>-3.41</w:t>
            </w:r>
          </w:p>
        </w:tc>
        <w:tc>
          <w:tcPr>
            <w:tcW w:type="dxa" w:w="1080"/>
          </w:tcPr>
          <w:p>
            <w:r>
              <w:t>3.24</w:t>
            </w:r>
          </w:p>
        </w:tc>
        <w:tc>
          <w:tcPr>
            <w:tcW w:type="dxa" w:w="1080"/>
          </w:tcPr>
          <w:p>
            <w:r>
              <w:t>40.0</w:t>
            </w:r>
          </w:p>
        </w:tc>
        <w:tc>
          <w:tcPr>
            <w:tcW w:type="dxa" w:w="1080"/>
          </w:tcPr>
          <w:p>
            <w:r>
              <w:t>-0.0393</w:t>
            </w:r>
          </w:p>
        </w:tc>
      </w:tr>
      <w:tr>
        <w:tc>
          <w:tcPr>
            <w:tcW w:type="dxa" w:w="1080"/>
          </w:tcPr>
          <w:p>
            <w:r>
              <w:t>R10 综合分 Top20（H=5）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0.06</w:t>
            </w:r>
          </w:p>
        </w:tc>
        <w:tc>
          <w:tcPr>
            <w:tcW w:type="dxa" w:w="1080"/>
          </w:tcPr>
          <w:p>
            <w:r>
              <w:t>0.96</w:t>
            </w:r>
          </w:p>
        </w:tc>
        <w:tc>
          <w:tcPr>
            <w:tcW w:type="dxa" w:w="1080"/>
          </w:tcPr>
          <w:p>
            <w:r>
              <w:t>50.0</w:t>
            </w:r>
          </w:p>
        </w:tc>
        <w:tc>
          <w:tcPr>
            <w:tcW w:type="dxa" w:w="1080"/>
          </w:tcPr>
          <w:p>
            <w:r>
              <w:t>-0.144</w:t>
            </w:r>
          </w:p>
        </w:tc>
      </w:tr>
    </w:tbl>
    <w:p>
      <w:pPr>
        <w:pStyle w:val="Heading1"/>
      </w:pPr>
      <w:r>
        <w:t>三、100 轮随机事件回测（多报告期）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有效轮次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平均超额%</w:t>
            </w:r>
          </w:p>
        </w:tc>
        <w:tc>
          <w:tcPr>
            <w:tcW w:type="dxa" w:w="4320"/>
          </w:tcPr>
          <w:p>
            <w:r>
              <w:t>1.34</w:t>
            </w:r>
          </w:p>
        </w:tc>
      </w:tr>
      <w:tr>
        <w:tc>
          <w:tcPr>
            <w:tcW w:type="dxa" w:w="4320"/>
          </w:tcPr>
          <w:p>
            <w:r>
              <w:t>胜率%</w:t>
            </w:r>
          </w:p>
        </w:tc>
        <w:tc>
          <w:tcPr>
            <w:tcW w:type="dxa" w:w="4320"/>
          </w:tcPr>
          <w:p>
            <w:r>
              <w:t>56.8</w:t>
            </w:r>
          </w:p>
        </w:tc>
      </w:tr>
      <w:tr>
        <w:tc>
          <w:tcPr>
            <w:tcW w:type="dxa" w:w="4320"/>
          </w:tcPr>
          <w:p>
            <w:r>
              <w:t>平均IC</w:t>
            </w:r>
          </w:p>
        </w:tc>
        <w:tc>
          <w:tcPr>
            <w:tcW w:type="dxa" w:w="4320"/>
          </w:tcPr>
          <w:p>
            <w:r>
              <w:t>0.0188</w:t>
            </w:r>
          </w:p>
        </w:tc>
      </w:tr>
      <w:tr>
        <w:tc>
          <w:tcPr>
            <w:tcW w:type="dxa" w:w="4320"/>
          </w:tcPr>
          <w:p>
            <w:r>
              <w:t>覆盖报告期</w:t>
            </w:r>
          </w:p>
        </w:tc>
        <w:tc>
          <w:tcPr>
            <w:tcW w:type="dxa" w:w="4320"/>
          </w:tcPr>
          <w:p>
            <w:r>
              <w:t>20240930、20241231、20250331、20250630、20250930、20251231、20260630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因子</w:t>
            </w:r>
          </w:p>
        </w:tc>
        <w:tc>
          <w:tcPr>
            <w:tcW w:type="dxa" w:w="2880"/>
          </w:tcPr>
          <w:p>
            <w:r>
              <w:t>平均超额%</w:t>
            </w:r>
          </w:p>
        </w:tc>
        <w:tc>
          <w:tcPr>
            <w:tcW w:type="dxa" w:w="2880"/>
          </w:tcPr>
          <w:p>
            <w:r>
              <w:t>样本轮次</w:t>
            </w:r>
          </w:p>
        </w:tc>
      </w:tr>
      <w:tr>
        <w:tc>
          <w:tcPr>
            <w:tcW w:type="dxa" w:w="2880"/>
          </w:tcPr>
          <w:p>
            <w:r>
              <w:t>mfac</w:t>
            </w:r>
          </w:p>
        </w:tc>
        <w:tc>
          <w:tcPr>
            <w:tcW w:type="dxa" w:w="2880"/>
          </w:tcPr>
          <w:p>
            <w:r>
              <w:t>3.25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rev_yoy</w:t>
            </w:r>
          </w:p>
        </w:tc>
        <w:tc>
          <w:tcPr>
            <w:tcW w:type="dxa" w:w="2880"/>
          </w:tcPr>
          <w:p>
            <w:r>
              <w:t>3.14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np_yoy</w:t>
            </w:r>
          </w:p>
        </w:tc>
        <w:tc>
          <w:tcPr>
            <w:tcW w:type="dxa" w:w="2880"/>
          </w:tcPr>
          <w:p>
            <w:r>
              <w:t>1.32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gm</w:t>
            </w:r>
          </w:p>
        </w:tc>
        <w:tc>
          <w:tcPr>
            <w:tcW w:type="dxa" w:w="2880"/>
          </w:tcPr>
          <w:p>
            <w:r>
              <w:t>-0.85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-2.24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pPr>
        <w:pStyle w:val="Heading1"/>
      </w:pPr>
      <w:r>
        <w:t>四、400 轮效力验证（横截面 + 预测量效）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有效轮次</w:t>
            </w:r>
          </w:p>
        </w:tc>
        <w:tc>
          <w:tcPr>
            <w:tcW w:type="dxa" w:w="4320"/>
          </w:tcPr>
          <w:p>
            <w:r>
              <w:t>319</w:t>
            </w:r>
          </w:p>
        </w:tc>
      </w:tr>
      <w:tr>
        <w:tc>
          <w:tcPr>
            <w:tcW w:type="dxa" w:w="4320"/>
          </w:tcPr>
          <w:p>
            <w:r>
              <w:t>平均超额%</w:t>
            </w:r>
          </w:p>
        </w:tc>
        <w:tc>
          <w:tcPr>
            <w:tcW w:type="dxa" w:w="4320"/>
          </w:tcPr>
          <w:p>
            <w:r>
              <w:t>0.23</w:t>
            </w:r>
          </w:p>
        </w:tc>
      </w:tr>
      <w:tr>
        <w:tc>
          <w:tcPr>
            <w:tcW w:type="dxa" w:w="4320"/>
          </w:tcPr>
          <w:p>
            <w:r>
              <w:t>胜率%</w:t>
            </w:r>
          </w:p>
        </w:tc>
        <w:tc>
          <w:tcPr>
            <w:tcW w:type="dxa" w:w="4320"/>
          </w:tcPr>
          <w:p>
            <w:r>
              <w:t>45.1</w:t>
            </w:r>
          </w:p>
        </w:tc>
      </w:tr>
      <w:tr>
        <w:tc>
          <w:tcPr>
            <w:tcW w:type="dxa" w:w="4320"/>
          </w:tcPr>
          <w:p>
            <w:r>
              <w:t>平均IC</w:t>
            </w:r>
          </w:p>
        </w:tc>
        <w:tc>
          <w:tcPr>
            <w:tcW w:type="dxa" w:w="4320"/>
          </w:tcPr>
          <w:p>
            <w:r>
              <w:t>0.0249</w:t>
            </w:r>
          </w:p>
        </w:tc>
      </w:tr>
      <w:tr>
        <w:tc>
          <w:tcPr>
            <w:tcW w:type="dxa" w:w="4320"/>
          </w:tcPr>
          <w:p>
            <w:r>
              <w:t>五档分层组数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覆盖报告期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r>
        <w:t>预测量效（标签 → 前向 20 日收益）：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标签</w:t>
            </w:r>
          </w:p>
        </w:tc>
        <w:tc>
          <w:tcPr>
            <w:tcW w:type="dxa" w:w="2160"/>
          </w:tcPr>
          <w:p>
            <w:r>
              <w:t>样本</w:t>
            </w:r>
          </w:p>
        </w:tc>
        <w:tc>
          <w:tcPr>
            <w:tcW w:type="dxa" w:w="2160"/>
          </w:tcPr>
          <w:p>
            <w:r>
              <w:t>平均前向收益%</w:t>
            </w:r>
          </w:p>
        </w:tc>
        <w:tc>
          <w:tcPr>
            <w:tcW w:type="dxa" w:w="2160"/>
          </w:tcPr>
          <w:p>
            <w:r>
              <w:t>负收益概率%</w:t>
            </w:r>
          </w:p>
        </w:tc>
      </w:tr>
      <w:tr>
        <w:tc>
          <w:tcPr>
            <w:tcW w:type="dxa" w:w="2160"/>
          </w:tcPr>
          <w:p>
            <w:r>
              <w:t>暴雷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-0.66</w:t>
            </w:r>
          </w:p>
        </w:tc>
        <w:tc>
          <w:tcPr>
            <w:tcW w:type="dxa" w:w="2160"/>
          </w:tcPr>
          <w:p>
            <w:r>
              <w:t>57.8</w:t>
            </w:r>
          </w:p>
        </w:tc>
      </w:tr>
      <w:tr>
        <w:tc>
          <w:tcPr>
            <w:tcW w:type="dxa" w:w="2160"/>
          </w:tcPr>
          <w:p>
            <w:r>
              <w:t>亏损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2605</w:t>
            </w:r>
          </w:p>
        </w:tc>
        <w:tc>
          <w:tcPr>
            <w:tcW w:type="dxa" w:w="2160"/>
          </w:tcPr>
          <w:p>
            <w:r>
              <w:t>-0.25</w:t>
            </w:r>
          </w:p>
        </w:tc>
        <w:tc>
          <w:tcPr>
            <w:tcW w:type="dxa" w:w="2160"/>
          </w:tcPr>
          <w:p>
            <w:r>
              <w:t>56.9</w:t>
            </w:r>
          </w:p>
        </w:tc>
      </w:tr>
      <w:tr>
        <w:tc>
          <w:tcPr>
            <w:tcW w:type="dxa" w:w="2160"/>
          </w:tcPr>
          <w:p>
            <w:r>
              <w:t>爆发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  <w:tc>
          <w:tcPr>
            <w:tcW w:type="dxa" w:w="2160"/>
          </w:tcPr>
          <w:p>
            <w:r>
              <w:t>52.9</w:t>
            </w:r>
          </w:p>
        </w:tc>
      </w:tr>
    </w:tbl>
    <w:p>
      <w:pPr>
        <w:pStyle w:val="Heading1"/>
      </w:pPr>
      <w:r>
        <w:t>五、造假案例验证（红旗引擎效力）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代码</w:t>
            </w:r>
          </w:p>
        </w:tc>
        <w:tc>
          <w:tcPr>
            <w:tcW w:type="dxa" w:w="1234"/>
          </w:tcPr>
          <w:p>
            <w:r>
              <w:t>名称</w:t>
            </w:r>
          </w:p>
        </w:tc>
        <w:tc>
          <w:tcPr>
            <w:tcW w:type="dxa" w:w="1234"/>
          </w:tcPr>
          <w:p>
            <w:r>
              <w:t>事件</w:t>
            </w:r>
          </w:p>
        </w:tc>
        <w:tc>
          <w:tcPr>
            <w:tcW w:type="dxa" w:w="1234"/>
          </w:tcPr>
          <w:p>
            <w:r>
              <w:t>风险分</w:t>
            </w:r>
          </w:p>
        </w:tc>
        <w:tc>
          <w:tcPr>
            <w:tcW w:type="dxa" w:w="1234"/>
          </w:tcPr>
          <w:p>
            <w:r>
              <w:t>等级</w:t>
            </w:r>
          </w:p>
        </w:tc>
        <w:tc>
          <w:tcPr>
            <w:tcW w:type="dxa" w:w="1234"/>
          </w:tcPr>
          <w:p>
            <w:r>
              <w:t>红旗数</w:t>
            </w:r>
          </w:p>
        </w:tc>
        <w:tc>
          <w:tcPr>
            <w:tcW w:type="dxa" w:w="1234"/>
          </w:tcPr>
          <w:p>
            <w:r>
              <w:t>异常数</w:t>
            </w:r>
          </w:p>
        </w:tc>
      </w:tr>
      <w:tr>
        <w:tc>
          <w:tcPr>
            <w:tcW w:type="dxa" w:w="1234"/>
          </w:tcPr>
          <w:p>
            <w:r>
              <w:t>002766</w:t>
            </w:r>
          </w:p>
        </w:tc>
        <w:tc>
          <w:tcPr>
            <w:tcW w:type="dxa" w:w="1234"/>
          </w:tcPr>
          <w:p>
            <w:r>
              <w:t>索菱股份</w:t>
            </w:r>
          </w:p>
        </w:tc>
        <w:tc>
          <w:tcPr>
            <w:tcW w:type="dxa" w:w="1234"/>
          </w:tcPr>
          <w:p>
            <w:r>
              <w:t>2019 财务造假（虚增营收利润）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600518</w:t>
            </w:r>
          </w:p>
        </w:tc>
        <w:tc>
          <w:tcPr>
            <w:tcW w:type="dxa" w:w="1234"/>
          </w:tcPr>
          <w:p>
            <w:r>
              <w:t>康美药业</w:t>
            </w:r>
          </w:p>
        </w:tc>
        <w:tc>
          <w:tcPr>
            <w:tcW w:type="dxa" w:w="1234"/>
          </w:tcPr>
          <w:p>
            <w:r>
              <w:t>2018 年财务造假（虚增货币资金 299 亿）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002069</w:t>
            </w:r>
          </w:p>
        </w:tc>
        <w:tc>
          <w:tcPr>
            <w:tcW w:type="dxa" w:w="1234"/>
          </w:tcPr>
          <w:p>
            <w:r>
              <w:t>獐子岛</w:t>
            </w:r>
          </w:p>
        </w:tc>
        <w:tc>
          <w:tcPr>
            <w:tcW w:type="dxa" w:w="1234"/>
          </w:tcPr>
          <w:p>
            <w:r>
              <w:t>2014-2018 存货（扇贝）异常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</w:t>
            </w:r>
          </w:p>
        </w:tc>
      </w:tr>
      <w:tr>
        <w:tc>
          <w:tcPr>
            <w:tcW w:type="dxa" w:w="1234"/>
          </w:tcPr>
          <w:p>
            <w:r>
              <w:t>000408</w:t>
            </w:r>
          </w:p>
        </w:tc>
        <w:tc>
          <w:tcPr>
            <w:tcW w:type="dxa" w:w="1234"/>
          </w:tcPr>
          <w:p>
            <w:r>
              <w:t>藏格控股</w:t>
            </w:r>
          </w:p>
        </w:tc>
        <w:tc>
          <w:tcPr>
            <w:tcW w:type="dxa" w:w="1234"/>
          </w:tcPr>
          <w:p>
            <w:r>
              <w:t>2019 关联方资金占用 / 违规担保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300072</w:t>
            </w:r>
          </w:p>
        </w:tc>
        <w:tc>
          <w:tcPr>
            <w:tcW w:type="dxa" w:w="1234"/>
          </w:tcPr>
          <w:p>
            <w:r>
              <w:t>三聚环保</w:t>
            </w:r>
          </w:p>
        </w:tc>
        <w:tc>
          <w:tcPr>
            <w:tcW w:type="dxa" w:w="1234"/>
          </w:tcPr>
          <w:p>
            <w:r>
              <w:t>2019 应收账款与现金流质疑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002450</w:t>
            </w:r>
          </w:p>
        </w:tc>
        <w:tc>
          <w:tcPr>
            <w:tcW w:type="dxa" w:w="1234"/>
          </w:tcPr>
          <w:p>
            <w:r>
              <w:t>康得新</w:t>
            </w:r>
          </w:p>
        </w:tc>
        <w:tc>
          <w:tcPr>
            <w:tcW w:type="dxa" w:w="1234"/>
          </w:tcPr>
          <w:p>
            <w:r>
              <w:t>2019 年造假（虚增利润 119 亿、存贷双高）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300104</w:t>
            </w:r>
          </w:p>
        </w:tc>
        <w:tc>
          <w:tcPr>
            <w:tcW w:type="dxa" w:w="1234"/>
          </w:tcPr>
          <w:p>
            <w:r>
              <w:t>乐视网</w:t>
            </w:r>
          </w:p>
        </w:tc>
        <w:tc>
          <w:tcPr>
            <w:tcW w:type="dxa" w:w="1234"/>
          </w:tcPr>
          <w:p>
            <w:r>
              <w:t>2016-2017 资金链断裂 / 关联交易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600781</w:t>
            </w:r>
          </w:p>
        </w:tc>
        <w:tc>
          <w:tcPr>
            <w:tcW w:type="dxa" w:w="1234"/>
          </w:tcPr>
          <w:p>
            <w:r>
              <w:t>辅仁药业</w:t>
            </w:r>
          </w:p>
        </w:tc>
        <w:tc>
          <w:tcPr>
            <w:tcW w:type="dxa" w:w="1234"/>
          </w:tcPr>
          <w:p>
            <w:r>
              <w:t>2019 分红违约 / 大股东资金占用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t>可评估 5 例，命中 5 例；康美命中「利息收入与货币资金背离」、獐子岛命中「存贷双高」——正是当年造假核心手法。</w:t>
      </w:r>
    </w:p>
    <w:p>
      <w:pPr>
        <w:pStyle w:val="Heading1"/>
      </w:pPr>
      <w:r>
        <w:t>六、诚实披露的局限</w:t>
      </w:r>
    </w:p>
    <w:p>
      <w:pPr>
        <w:pStyle w:val="ListBullet"/>
      </w:pPr>
      <w:r>
        <w:t>样本受限：K 线覆盖约 300 只、报告期横截面有限，400 轮平均超额 +0.23%、胜率 45.1%、IC +0.025 —— 信号方向为正但统计上偏弱，不足以断言显著 alpha</w:t>
      </w:r>
    </w:p>
    <w:p>
      <w:pPr>
        <w:pStyle w:val="ListBullet"/>
      </w:pPr>
      <w:r>
        <w:t>预测量效方向正确（暴雷前向收益 -0.66% 低于正常 -0.25%；爆发 +0.34%），但差异幅度小</w:t>
      </w:r>
    </w:p>
    <w:p>
      <w:pPr>
        <w:pStyle w:val="ListBullet"/>
      </w:pPr>
      <w:r>
        <w:t>造假案例中 3 家为已退市、无当前数据，未计入命中率分母</w:t>
      </w:r>
    </w:p>
    <w:p>
      <w:pPr>
        <w:pStyle w:val="ListBullet"/>
      </w:pPr>
      <w:r>
        <w:t>结论：作为「可验证的能力」起点成立；要达学术级显著，需扩大 K 线覆盖与报告期数并报告 IC/ICIR/t 统计量</w:t>
      </w:r>
    </w:p>
    <w:p>
      <w:pPr>
        <w:pStyle w:val="Heading1"/>
      </w:pPr>
      <w:r>
        <w:t>七、初步优化（训练期优化 / 留出期验证）</w:t>
      </w:r>
    </w:p>
    <w:p>
      <w:r>
        <w:t>目标：让回测达到基准的正向水平。方法：只在训练期（20240930、20241231、20250331、20250630、20250930）用坐标上升优化因子权重，留出期（20251231、20260630）仅验证。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策略</w:t>
            </w:r>
          </w:p>
        </w:tc>
        <w:tc>
          <w:tcPr>
            <w:tcW w:type="dxa" w:w="2160"/>
          </w:tcPr>
          <w:p>
            <w:r>
              <w:t>训练期超额%</w:t>
            </w:r>
          </w:p>
        </w:tc>
        <w:tc>
          <w:tcPr>
            <w:tcW w:type="dxa" w:w="2160"/>
          </w:tcPr>
          <w:p>
            <w:r>
              <w:t>留出期超额%</w:t>
            </w:r>
          </w:p>
        </w:tc>
        <w:tc>
          <w:tcPr>
            <w:tcW w:type="dxa" w:w="2160"/>
          </w:tcPr>
          <w:p>
            <w:r>
              <w:t>IC</w:t>
            </w:r>
          </w:p>
        </w:tc>
      </w:tr>
      <w:tr>
        <w:tc>
          <w:tcPr>
            <w:tcW w:type="dxa" w:w="2160"/>
          </w:tcPr>
          <w:p>
            <w:r>
              <w:t>等权(1/4)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-0.1076</w:t>
            </w:r>
          </w:p>
        </w:tc>
      </w:tr>
      <w:tr>
        <w:tc>
          <w:tcPr>
            <w:tcW w:type="dxa" w:w="2160"/>
          </w:tcPr>
          <w:p>
            <w:r>
              <w:t>原综合分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  <w:tc>
          <w:tcPr>
            <w:tcW w:type="dxa" w:w="2160"/>
          </w:tcPr>
          <w:p>
            <w:r>
              <w:t>1.81</w:t>
            </w:r>
          </w:p>
        </w:tc>
        <w:tc>
          <w:tcPr>
            <w:tcW w:type="dxa" w:w="2160"/>
          </w:tcPr>
          <w:p>
            <w:r>
              <w:t>-0.08904999999999999</w:t>
            </w:r>
          </w:p>
        </w:tc>
      </w:tr>
      <w:tr>
        <w:tc>
          <w:tcPr>
            <w:tcW w:type="dxa" w:w="2160"/>
          </w:tcPr>
          <w:p>
            <w:r>
              <w:t>★优化后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  <w:tc>
          <w:tcPr>
            <w:tcW w:type="dxa" w:w="2160"/>
          </w:tcPr>
          <w:p>
            <w:r>
              <w:t>2.95</w:t>
            </w:r>
          </w:p>
        </w:tc>
        <w:tc>
          <w:tcPr>
            <w:tcW w:type="dxa" w:w="2160"/>
          </w:tcPr>
          <w:p>
            <w:r>
              <w:t>-0.060149999999999995</w:t>
            </w:r>
          </w:p>
        </w:tc>
      </w:tr>
    </w:tbl>
    <w:p>
      <w:r>
        <w:t>结论：优化后 训练期超额 +3.88%、留出期超额 +2.95%，两段胜率均 100%；显著优于等权（+0.07%/+0.93%）与原综合分（+1.71%/+1.81%），且改进在留出期泛化成立。</w:t>
      </w:r>
    </w:p>
    <w:p>
      <w:r>
        <w:t>最优权重：净利 0.49 / 营收 0.30 / ROE 0.17 / 毛利 0.05。诚实披露：IC=-0.060（整体秩相关为负），超额来自“头部组合”而非全序单调。</w:t>
      </w:r>
      <w:r>
        <w:t xml:space="preserve"> 注：本章为初步探索；最终落地采用第八章留一法结果（更严格）。</w:t>
      </w:r>
    </w:p>
    <w:p>
      <w:pPr>
        <w:pStyle w:val="Heading1"/>
      </w:pPr>
      <w:r>
        <w:t>八、最终优化：留一法交叉验证（本地算力）</w:t>
      </w:r>
    </w:p>
    <w:p>
      <w:r>
        <w:t>方法：对 7 个报告期做留一法交叉验证(LOSO)：每折在其余 6 期用坐标上升重新优化非负因子权重，仅在留出期评估，杜绝过拟合。并测试了从 np/rev 推导的工程化因子（净利率、规模、growth_gap、质量）。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留一超额%</w:t>
            </w:r>
          </w:p>
        </w:tc>
        <w:tc>
          <w:tcPr>
            <w:tcW w:type="dxa" w:w="2160"/>
          </w:tcPr>
          <w:p>
            <w:r>
              <w:t>留一胜率%</w:t>
            </w:r>
          </w:p>
        </w:tc>
        <w:tc>
          <w:tcPr>
            <w:tcW w:type="dxa" w:w="2160"/>
          </w:tcPr>
          <w:p>
            <w:r>
              <w:t>样本内超额%</w:t>
            </w:r>
          </w:p>
        </w:tc>
      </w:tr>
      <w:tr>
        <w:tc>
          <w:tcPr>
            <w:tcW w:type="dxa" w:w="2160"/>
          </w:tcPr>
          <w:p>
            <w:r>
              <w:t>h=10 Top10 非亏损</w:t>
            </w:r>
          </w:p>
        </w:tc>
        <w:tc>
          <w:tcPr>
            <w:tcW w:type="dxa" w:w="2160"/>
          </w:tcPr>
          <w:p>
            <w:r>
              <w:t>3.69</w:t>
            </w:r>
          </w:p>
        </w:tc>
        <w:tc>
          <w:tcPr>
            <w:tcW w:type="dxa" w:w="2160"/>
          </w:tcPr>
          <w:p>
            <w:r>
              <w:t>66.7</w:t>
            </w:r>
          </w:p>
        </w:tc>
        <w:tc>
          <w:tcPr>
            <w:tcW w:type="dxa" w:w="2160"/>
          </w:tcPr>
          <w:p>
            <w:r>
              <w:t>7.63</w:t>
            </w:r>
          </w:p>
        </w:tc>
      </w:tr>
      <w:tr>
        <w:tc>
          <w:tcPr>
            <w:tcW w:type="dxa" w:w="2160"/>
          </w:tcPr>
          <w:p>
            <w:r>
              <w:t>h=5 Top8 非暴雷</w:t>
            </w:r>
          </w:p>
        </w:tc>
        <w:tc>
          <w:tcPr>
            <w:tcW w:type="dxa" w:w="2160"/>
          </w:tcPr>
          <w:p>
            <w:r>
              <w:t>3.54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4.67</w:t>
            </w:r>
          </w:p>
        </w:tc>
      </w:tr>
      <w:tr>
        <w:tc>
          <w:tcPr>
            <w:tcW w:type="dxa" w:w="2160"/>
          </w:tcPr>
          <w:p>
            <w:r>
              <w:t>h=10 Top8 无</w:t>
            </w:r>
          </w:p>
        </w:tc>
        <w:tc>
          <w:tcPr>
            <w:tcW w:type="dxa" w:w="2160"/>
          </w:tcPr>
          <w:p>
            <w:r>
              <w:t>3.08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  <w:tc>
          <w:tcPr>
            <w:tcW w:type="dxa" w:w="2160"/>
          </w:tcPr>
          <w:p>
            <w:r>
              <w:t>4.69</w:t>
            </w:r>
          </w:p>
        </w:tc>
      </w:tr>
      <w:tr>
        <w:tc>
          <w:tcPr>
            <w:tcW w:type="dxa" w:w="2160"/>
          </w:tcPr>
          <w:p>
            <w:r>
              <w:t>h=10 Top15 非暴雷</w:t>
            </w:r>
          </w:p>
        </w:tc>
        <w:tc>
          <w:tcPr>
            <w:tcW w:type="dxa" w:w="2160"/>
          </w:tcPr>
          <w:p>
            <w:r>
              <w:t>2.82</w:t>
            </w:r>
          </w:p>
        </w:tc>
        <w:tc>
          <w:tcPr>
            <w:tcW w:type="dxa" w:w="2160"/>
          </w:tcPr>
          <w:p>
            <w:r>
              <w:t>66.7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</w:tr>
      <w:tr>
        <w:tc>
          <w:tcPr>
            <w:tcW w:type="dxa" w:w="2160"/>
          </w:tcPr>
          <w:p>
            <w:r>
              <w:t>h=5 Top20 非暴雷</w:t>
            </w:r>
          </w:p>
        </w:tc>
        <w:tc>
          <w:tcPr>
            <w:tcW w:type="dxa" w:w="2160"/>
          </w:tcPr>
          <w:p>
            <w:r>
              <w:t>2.41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</w:tr>
    </w:tbl>
    <w:p>
      <w:r>
        <w:t>最优：h=5、Top8、非暴雷，权重 营收 0.57 / ROE 0.30 / 毛利 0.28，留一超额 +3.54%、胜率 100%；显著优于现役策略（留一 +0.87%、胜率 67%）。</w:t>
      </w:r>
    </w:p>
    <w:p>
      <w:r>
        <w:t>诚实披露：样本内 4.67% 会高估；留一法 3.54% 为可外推数字。局限：K 线覆盖限制（约 300 只/期），单期样本偏小。</w:t>
      </w:r>
      <w:r/>
      <w:r>
        <w:t>逐折明细与统计量：7 个报告期中仅 3 折样本充足（≥30 只）：20241231 +0.85%、20250630 +7.84%、20260630 +1.94%；均值 +3.54%、标准差 3.76、t=1.63（n=3，df=2，双侧临界 t≈4.30，未达 5% 显著）、平均 IC -0.03。</w:t>
      </w:r>
      <w:r>
        <w:t>这说明：超额为正且 3 折全正，但折数少、离散度大，统计上不足以断言显著 alpha；IC 为负说明超额主要来自头部组合而非全序单调。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报告期</w:t>
            </w:r>
          </w:p>
        </w:tc>
        <w:tc>
          <w:tcPr>
            <w:tcW w:type="dxa" w:w="2880"/>
          </w:tcPr>
          <w:p>
            <w:r>
              <w:t>留一超额%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20240930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样本不足(&lt;30 只)</w:t>
            </w:r>
          </w:p>
        </w:tc>
      </w:tr>
      <w:tr>
        <w:tc>
          <w:tcPr>
            <w:tcW w:type="dxa" w:w="2880"/>
          </w:tcPr>
          <w:p>
            <w:r>
              <w:t>20241231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20250331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样本不足(&lt;30 只)</w:t>
            </w:r>
          </w:p>
        </w:tc>
      </w:tr>
      <w:tr>
        <w:tc>
          <w:tcPr>
            <w:tcW w:type="dxa" w:w="2880"/>
          </w:tcPr>
          <w:p>
            <w:r>
              <w:t>20250630</w:t>
            </w:r>
          </w:p>
        </w:tc>
        <w:tc>
          <w:tcPr>
            <w:tcW w:type="dxa" w:w="2880"/>
          </w:tcPr>
          <w:p>
            <w:r>
              <w:t>7.84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20250930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样本不足(&lt;30 只)</w:t>
            </w:r>
          </w:p>
        </w:tc>
      </w:tr>
      <w:tr>
        <w:tc>
          <w:tcPr>
            <w:tcW w:type="dxa" w:w="2880"/>
          </w:tcPr>
          <w:p>
            <w:r>
              <w:t>20251231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样本不足(&lt;30 只)</w:t>
            </w:r>
          </w:p>
        </w:tc>
      </w:tr>
      <w:tr>
        <w:tc>
          <w:tcPr>
            <w:tcW w:type="dxa" w:w="2880"/>
          </w:tcPr>
          <w:p>
            <w:r>
              <w:t>20260630</w:t>
            </w:r>
          </w:p>
        </w:tc>
        <w:tc>
          <w:tcPr>
            <w:tcW w:type="dxa" w:w="2880"/>
          </w:tcPr>
          <w:p>
            <w:r>
              <w:t>1.94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九、结论与落地</w:t>
      </w:r>
    </w:p>
    <w:p>
      <w:r>
        <w:t>落地策略：深度优化综合分 v3（成长+质量）——权重 营收增速 0.57 / ROE 0.30 / 毛利率 0.28，持有 5 日、Top8、非暴雷过滤；已写入 backend/app/strategy.py 作为唯一策略源。</w:t>
      </w:r>
    </w:p>
    <w:p>
      <w:r>
        <w:t>线上生效：/api/strategy 返回该策略与验证数字；factors.py 综合分、全市场选股、因子分层、前端「活跃策略」卡均从此读取，保证处处一致。</w:t>
      </w:r>
    </w:p>
    <w:p>
      <w:r>
        <w:t>诚实结论：留一法超额 +3.54%（3 折全正）、优于现役策略（+0.87%）；但 n=3、t=1.63 未达显著，IC 为负。因此应表述为「方向为正、口径更干净的可验证策略」，而非已证实的显著 alpha。</w:t>
      </w:r>
    </w:p>
    <w:p>
      <w:r>
        <w:t>后续路线：扩大 K 线覆盖（每期样本从约 300 只推向全市场）→ 有效折数从 3 升到 7，再报告 IC/ICIR/t 统计量；并把留一法优化做成服务内可触发（随新报告期自动重优化）。</w:t>
      </w:r>
    </w:p>
    <w:p>
      <w:pPr>
        <w:pStyle w:val="Heading1"/>
      </w:pPr>
      <w:r>
        <w:t>十、消融与基准对比：证明不是「堆料」，也不是 beta</w:t>
      </w:r>
    </w:p>
    <w:p>
      <w:r>
        <w:t>方法：对活跃策略做因子消融（逐一去掉因子/过滤器，用真留一法重跑），并与规模、单因子、等权、随机权重对照。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消融变体</w:t>
            </w:r>
          </w:p>
        </w:tc>
        <w:tc>
          <w:tcPr>
            <w:tcW w:type="dxa" w:w="1728"/>
          </w:tcPr>
          <w:p>
            <w:r>
              <w:t>留一超额%</w:t>
            </w:r>
          </w:p>
        </w:tc>
        <w:tc>
          <w:tcPr>
            <w:tcW w:type="dxa" w:w="1728"/>
          </w:tcPr>
          <w:p>
            <w:r>
              <w:t>有效折数</w:t>
            </w:r>
          </w:p>
        </w:tc>
        <w:tc>
          <w:tcPr>
            <w:tcW w:type="dxa" w:w="1728"/>
          </w:tcPr>
          <w:p>
            <w:r>
              <w:t>折胜率%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完整策略(营收+ROE+毛利+净利)</w:t>
            </w:r>
          </w:p>
        </w:tc>
        <w:tc>
          <w:tcPr>
            <w:tcW w:type="dxa" w:w="1728"/>
          </w:tcPr>
          <w:p>
            <w:r>
              <w:t>3.54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1.63</w:t>
            </w:r>
          </w:p>
        </w:tc>
      </w:tr>
      <w:tr>
        <w:tc>
          <w:tcPr>
            <w:tcW w:type="dxa" w:w="1728"/>
          </w:tcPr>
          <w:p>
            <w:r>
              <w:t>去 净利增速</w:t>
            </w:r>
          </w:p>
        </w:tc>
        <w:tc>
          <w:tcPr>
            <w:tcW w:type="dxa" w:w="1728"/>
          </w:tcPr>
          <w:p>
            <w:r>
              <w:t>4.38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3.74</w:t>
            </w:r>
          </w:p>
        </w:tc>
      </w:tr>
      <w:tr>
        <w:tc>
          <w:tcPr>
            <w:tcW w:type="dxa" w:w="1728"/>
          </w:tcPr>
          <w:p>
            <w:r>
              <w:t>去 营收增速</w:t>
            </w:r>
          </w:p>
        </w:tc>
        <w:tc>
          <w:tcPr>
            <w:tcW w:type="dxa" w:w="1728"/>
          </w:tcPr>
          <w:p>
            <w:r>
              <w:t>1.97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4.78</w:t>
            </w:r>
          </w:p>
        </w:tc>
      </w:tr>
      <w:tr>
        <w:tc>
          <w:tcPr>
            <w:tcW w:type="dxa" w:w="1728"/>
          </w:tcPr>
          <w:p>
            <w:r>
              <w:t>去 ROE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2.21</w:t>
            </w:r>
          </w:p>
        </w:tc>
      </w:tr>
      <w:tr>
        <w:tc>
          <w:tcPr>
            <w:tcW w:type="dxa" w:w="1728"/>
          </w:tcPr>
          <w:p>
            <w:r>
              <w:t>去 毛利率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71.4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</w:tr>
      <w:tr>
        <w:tc>
          <w:tcPr>
            <w:tcW w:type="dxa" w:w="1728"/>
          </w:tcPr>
          <w:p>
            <w:r>
              <w:t>去 非暴雷过滤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66.7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</w:tr>
      <w:tr>
        <w:tc>
          <w:tcPr>
            <w:tcW w:type="dxa" w:w="1728"/>
          </w:tcPr>
          <w:p>
            <w:r>
              <w:t>等权(不优化)</w:t>
            </w:r>
          </w:p>
        </w:tc>
        <w:tc>
          <w:tcPr>
            <w:tcW w:type="dxa" w:w="1728"/>
          </w:tcPr>
          <w:p>
            <w:r>
              <w:t>3.54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1.63</w:t>
            </w:r>
          </w:p>
        </w:tc>
      </w:tr>
    </w:tbl>
    <w:p>
      <w:r>
        <w:t>结论：毛利率最关键（去掉 3.54→0.27），营收增速次之（→1.97），去掉净利增速反而更好（→4.38，佐证剔除决策）。诚实披露：优化权重与等权同分（3.54），权重优化的边际贡献≈0。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超额%</w:t>
            </w:r>
          </w:p>
        </w:tc>
        <w:tc>
          <w:tcPr>
            <w:tcW w:type="dxa" w:w="2160"/>
          </w:tcPr>
          <w:p>
            <w:r>
              <w:t>期数</w:t>
            </w:r>
          </w:p>
        </w:tc>
        <w:tc>
          <w:tcPr>
            <w:tcW w:type="dxa" w:w="2160"/>
          </w:tcPr>
          <w:p>
            <w:r>
              <w:t>期胜率%</w:t>
            </w:r>
          </w:p>
        </w:tc>
      </w:tr>
      <w:tr>
        <w:tc>
          <w:tcPr>
            <w:tcW w:type="dxa" w:w="2160"/>
          </w:tcPr>
          <w:p>
            <w:r>
              <w:t>活跃策略v3(固定权重)</w:t>
            </w:r>
          </w:p>
        </w:tc>
        <w:tc>
          <w:tcPr>
            <w:tcW w:type="dxa" w:w="2160"/>
          </w:tcPr>
          <w:p>
            <w:r>
              <w:t>4.67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单因子·np_yoy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57.1</w:t>
            </w:r>
          </w:p>
        </w:tc>
      </w:tr>
      <w:tr>
        <w:tc>
          <w:tcPr>
            <w:tcW w:type="dxa" w:w="2160"/>
          </w:tcPr>
          <w:p>
            <w:r>
              <w:t>单因子·rev_yoy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单因子·roe</w:t>
            </w:r>
          </w:p>
        </w:tc>
        <w:tc>
          <w:tcPr>
            <w:tcW w:type="dxa" w:w="2160"/>
          </w:tcPr>
          <w:p>
            <w:r>
              <w:t>-2.02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</w:tr>
      <w:tr>
        <w:tc>
          <w:tcPr>
            <w:tcW w:type="dxa" w:w="2160"/>
          </w:tcPr>
          <w:p>
            <w:r>
              <w:t>单因子·gm</w:t>
            </w:r>
          </w:p>
        </w:tc>
        <w:tc>
          <w:tcPr>
            <w:tcW w:type="dxa" w:w="2160"/>
          </w:tcPr>
          <w:p>
            <w:r>
              <w:t>-1.11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</w:tr>
      <w:tr>
        <w:tc>
          <w:tcPr>
            <w:tcW w:type="dxa" w:w="2160"/>
          </w:tcPr>
          <w:p>
            <w:r>
              <w:t>等权四因子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规模(小市值)</w:t>
            </w:r>
          </w:p>
        </w:tc>
        <w:tc>
          <w:tcPr>
            <w:tcW w:type="dxa" w:w="2160"/>
          </w:tcPr>
          <w:p>
            <w:r>
              <w:t>-1.66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净利率</w:t>
            </w:r>
          </w:p>
        </w:tc>
        <w:tc>
          <w:tcPr>
            <w:tcW w:type="dxa" w:w="2160"/>
          </w:tcPr>
          <w:p>
            <w:r>
              <w:t>-0.03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</w:tr>
      <w:tr>
        <w:tc>
          <w:tcPr>
            <w:tcW w:type="dxa" w:w="2160"/>
          </w:tcPr>
          <w:p>
            <w:r>
              <w:t>随机权重(300 组均值)</w:t>
            </w:r>
          </w:p>
        </w:tc>
        <w:tc>
          <w:tcPr>
            <w:tcW w:type="dxa" w:w="2160"/>
          </w:tcPr>
          <w:p>
            <w:r>
              <w:t>2.39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结论：小市值 -1.66%（不是规模 beta）；单因子最好仅 +0.74%；随机权重 300 组均值 +2.39% 与策略同量级 —— 正超额来自「多因子合成 + 头部组合」的结构，而非特定权重。</w:t>
      </w:r>
    </w:p>
    <w:p>
      <w:pPr>
        <w:pStyle w:val="Heading1"/>
      </w:pPr>
      <w:r>
        <w:t>十一、风控引擎的区分力（含误报率）</w:t>
      </w:r>
    </w:p>
    <w:p>
      <w:r>
        <w:t>此前「造假命中 5/5」缺少基线。补上对照组（5,566 只非造假股）后：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特征集</w:t>
            </w:r>
          </w:p>
        </w:tc>
        <w:tc>
          <w:tcPr>
            <w:tcW w:type="dxa" w:w="1728"/>
          </w:tcPr>
          <w:p>
            <w:r>
              <w:t>造假组命中</w:t>
            </w:r>
          </w:p>
        </w:tc>
        <w:tc>
          <w:tcPr>
            <w:tcW w:type="dxa" w:w="1728"/>
          </w:tcPr>
          <w:p>
            <w:r>
              <w:t>命中率%</w:t>
            </w:r>
          </w:p>
        </w:tc>
        <w:tc>
          <w:tcPr>
            <w:tcW w:type="dxa" w:w="1728"/>
          </w:tcPr>
          <w:p>
            <w:r>
              <w:t>对照组误报率%</w:t>
            </w:r>
          </w:p>
        </w:tc>
        <w:tc>
          <w:tcPr>
            <w:tcW w:type="dxa" w:w="1728"/>
          </w:tcPr>
          <w:p>
            <w:r>
              <w:t>区分度%</w:t>
            </w:r>
          </w:p>
        </w:tc>
      </w:tr>
      <w:tr>
        <w:tc>
          <w:tcPr>
            <w:tcW w:type="dxa" w:w="1728"/>
          </w:tcPr>
          <w:p>
            <w:r>
              <w:t>完整引擎(异常+勾稽+风险)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93.9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去异常</w:t>
            </w:r>
          </w:p>
        </w:tc>
        <w:tc>
          <w:tcPr>
            <w:tcW w:type="dxa" w:w="1728"/>
          </w:tcPr>
          <w:p>
            <w:r>
              <w:t>2/5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41.4</w:t>
            </w:r>
          </w:p>
        </w:tc>
        <w:tc>
          <w:tcPr>
            <w:tcW w:type="dxa" w:w="1728"/>
          </w:tcPr>
          <w:p>
            <w:r>
              <w:t>-1.4</w:t>
            </w:r>
          </w:p>
        </w:tc>
      </w:tr>
      <w:tr>
        <w:tc>
          <w:tcPr>
            <w:tcW w:type="dxa" w:w="1728"/>
          </w:tcPr>
          <w:p>
            <w:r>
              <w:t>去勾稽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92.0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去风险分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93.9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仅异常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92.0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</w:tbl>
    <w:p>
      <w:r>
        <w:t>关键诚实结论：原始「异常≥3」判据在对照组误报率 92-94%（利润与现金流背离全市场出现 4.6 万次、平均每只 8 条），几乎不具区分力；「命中 5/5」若不给这一基线会严重误导。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风险分阈值</w:t>
            </w:r>
          </w:p>
        </w:tc>
        <w:tc>
          <w:tcPr>
            <w:tcW w:type="dxa" w:w="2160"/>
          </w:tcPr>
          <w:p>
            <w:r>
              <w:t>造假组召回%</w:t>
            </w:r>
          </w:p>
        </w:tc>
        <w:tc>
          <w:tcPr>
            <w:tcW w:type="dxa" w:w="2160"/>
          </w:tcPr>
          <w:p>
            <w:r>
              <w:t>对照组误报%</w:t>
            </w:r>
          </w:p>
        </w:tc>
        <w:tc>
          <w:tcPr>
            <w:tcW w:type="dxa" w:w="2160"/>
          </w:tcPr>
          <w:p>
            <w:r>
              <w:t>区分度pp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20.3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16.3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-8.9</w:t>
            </w:r>
          </w:p>
        </w:tc>
      </w:tr>
    </w:tbl>
    <w:p>
      <w:r>
        <w:t>改用风险分：阈值≥50 时造假组召回 80%、对照组误报 27.5%（对照组风险分中位数仅 39）。因此风险分是有效判别器，适合做「全市场预过滤」（把 5571 只收窄到约 1500 只再深查），而非声称精确识别造假。</w:t>
      </w:r>
    </w:p>
    <w:p>
      <w:r>
        <w:t>定位：本引擎的能力应表述为「带误报率与对照基线的风险预筛选」，而非「造假识别器」——这才是可被复现与检验的表述。</w:t>
      </w:r>
    </w:p>
    <w:p>
      <w:pPr>
        <w:pStyle w:val="Heading1"/>
      </w:pPr>
      <w:r>
        <w:t>十二、扩样后的效力复核（K 线历史扩充至 3 年）</w:t>
      </w:r>
    </w:p>
    <w:p>
      <w:r>
        <w:t>动机：此前 K 线仅覆盖约 1 年、每期约 300 只，导致 7 个报告期中仅 3 期样本充足，统计效力弱。本轮把 K 线历史扩到约 3 年，每期样本升至约 2,580 只（共 69,743 行）。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策略</w:t>
            </w:r>
          </w:p>
        </w:tc>
        <w:tc>
          <w:tcPr>
            <w:tcW w:type="dxa" w:w="2160"/>
          </w:tcPr>
          <w:p>
            <w:r>
              <w:t>均值超额%</w:t>
            </w:r>
          </w:p>
        </w:tc>
        <w:tc>
          <w:tcPr>
            <w:tcW w:type="dxa" w:w="2160"/>
          </w:tcPr>
          <w:p>
            <w:r>
              <w:t>有效期数</w:t>
            </w:r>
          </w:p>
        </w:tc>
        <w:tc>
          <w:tcPr>
            <w:tcW w:type="dxa" w:w="2160"/>
          </w:tcPr>
          <w:p>
            <w:r>
              <w:t>期胜率%</w:t>
            </w:r>
          </w:p>
        </w:tc>
      </w:tr>
      <w:tr>
        <w:tc>
          <w:tcPr>
            <w:tcW w:type="dxa" w:w="2160"/>
          </w:tcPr>
          <w:p>
            <w:r>
              <w:t>活跃策略 v3（固定权重）h=5</w:t>
            </w:r>
          </w:p>
        </w:tc>
        <w:tc>
          <w:tcPr>
            <w:tcW w:type="dxa" w:w="2160"/>
          </w:tcPr>
          <w:p>
            <w:r>
              <w:t>-2.37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活跃策略 v3（固定权重）h=10</w:t>
            </w:r>
          </w:p>
        </w:tc>
        <w:tc>
          <w:tcPr>
            <w:tcW w:type="dxa" w:w="2160"/>
          </w:tcPr>
          <w:p>
            <w:r>
              <w:t>-3.07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活跃策略 v3（固定权重）h=20</w:t>
            </w:r>
          </w:p>
        </w:tc>
        <w:tc>
          <w:tcPr>
            <w:tcW w:type="dxa" w:w="2160"/>
          </w:tcPr>
          <w:p>
            <w:r>
              <w:t>-2.59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等权四因子 h=5</w:t>
            </w:r>
          </w:p>
        </w:tc>
        <w:tc>
          <w:tcPr>
            <w:tcW w:type="dxa" w:w="2160"/>
          </w:tcPr>
          <w:p>
            <w:r>
              <w:t>-0.91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等权四因子 h=10</w:t>
            </w:r>
          </w:p>
        </w:tc>
        <w:tc>
          <w:tcPr>
            <w:tcW w:type="dxa" w:w="2160"/>
          </w:tcPr>
          <w:p>
            <w:r>
              <w:t>-1.43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</w:tbl>
    <w:p>
      <w:r>
        <w:t>关键结论：活跃策略 v3 的样本外超额由 +3.54%(n=3) 变为 -2.37%(n=4) —— 原正超额是小样本假象。扩样后，策略不再跑赢基准。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均值超额%</w:t>
            </w:r>
          </w:p>
        </w:tc>
        <w:tc>
          <w:tcPr>
            <w:tcW w:type="dxa" w:w="2160"/>
          </w:tcPr>
          <w:p>
            <w:r>
              <w:t>有效期数</w:t>
            </w:r>
          </w:p>
        </w:tc>
        <w:tc>
          <w:tcPr>
            <w:tcW w:type="dxa" w:w="2160"/>
          </w:tcPr>
          <w:p>
            <w:r>
              <w:t>期胜率%</w:t>
            </w:r>
          </w:p>
        </w:tc>
      </w:tr>
      <w:tr>
        <w:tc>
          <w:tcPr>
            <w:tcW w:type="dxa" w:w="2160"/>
          </w:tcPr>
          <w:p>
            <w:r>
              <w:t>单因子·净利增速 np_yoy</w:t>
            </w:r>
          </w:p>
        </w:tc>
        <w:tc>
          <w:tcPr>
            <w:tcW w:type="dxa" w:w="2160"/>
          </w:tcPr>
          <w:p>
            <w:r>
              <w:t>-0.08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单因子·营收增速 rev_yoy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单因子·ROE</w:t>
            </w:r>
          </w:p>
        </w:tc>
        <w:tc>
          <w:tcPr>
            <w:tcW w:type="dxa" w:w="2160"/>
          </w:tcPr>
          <w:p>
            <w:r>
              <w:t>-0.52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单因子·毛利率 gm</w:t>
            </w:r>
          </w:p>
        </w:tc>
        <w:tc>
          <w:tcPr>
            <w:tcW w:type="dxa" w:w="2160"/>
          </w:tcPr>
          <w:p>
            <w:r>
              <w:t>-1.45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单因子·净利率</w:t>
            </w:r>
          </w:p>
        </w:tc>
        <w:tc>
          <w:tcPr>
            <w:tcW w:type="dxa" w:w="2160"/>
          </w:tcPr>
          <w:p>
            <w:r>
              <w:t>-0.44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规模（小市值）</w:t>
            </w:r>
          </w:p>
        </w:tc>
        <w:tc>
          <w:tcPr>
            <w:tcW w:type="dxa" w:w="2160"/>
          </w:tcPr>
          <w:p>
            <w:r>
              <w:t>1.38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随机权重（200 组均值）</w:t>
            </w:r>
          </w:p>
        </w:tc>
        <w:tc>
          <w:tcPr>
            <w:tcW w:type="dxa" w:w="2160"/>
          </w:tcPr>
          <w:p>
            <w:r>
              <w:t>-1.17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基准对比：单因子最好为营收 +0.56%；唯一正向为规模（小市值 +1.38%，期胜率 75%），但那是已知风格 beta 而非 alpha。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消融变体</w:t>
            </w:r>
          </w:p>
        </w:tc>
        <w:tc>
          <w:tcPr>
            <w:tcW w:type="dxa" w:w="2160"/>
          </w:tcPr>
          <w:p>
            <w:r>
              <w:t>均值超额%</w:t>
            </w:r>
          </w:p>
        </w:tc>
        <w:tc>
          <w:tcPr>
            <w:tcW w:type="dxa" w:w="2160"/>
          </w:tcPr>
          <w:p>
            <w:r>
              <w:t>有效期数</w:t>
            </w:r>
          </w:p>
        </w:tc>
        <w:tc>
          <w:tcPr>
            <w:tcW w:type="dxa" w:w="2160"/>
          </w:tcPr>
          <w:p>
            <w:r>
              <w:t>期胜率%</w:t>
            </w:r>
          </w:p>
        </w:tc>
      </w:tr>
      <w:tr>
        <w:tc>
          <w:tcPr>
            <w:tcW w:type="dxa" w:w="2160"/>
          </w:tcPr>
          <w:p>
            <w:r>
              <w:t>完整 v3</w:t>
            </w:r>
          </w:p>
        </w:tc>
        <w:tc>
          <w:tcPr>
            <w:tcW w:type="dxa" w:w="2160"/>
          </w:tcPr>
          <w:p>
            <w:r>
              <w:t>-2.37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去 营收增速</w:t>
            </w:r>
          </w:p>
        </w:tc>
        <w:tc>
          <w:tcPr>
            <w:tcW w:type="dxa" w:w="2160"/>
          </w:tcPr>
          <w:p>
            <w:r>
              <w:t>-2.99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去 ROE</w:t>
            </w:r>
          </w:p>
        </w:tc>
        <w:tc>
          <w:tcPr>
            <w:tcW w:type="dxa" w:w="2160"/>
          </w:tcPr>
          <w:p>
            <w:r>
              <w:t>-0.13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去 毛利率</w:t>
            </w:r>
          </w:p>
        </w:tc>
        <w:tc>
          <w:tcPr>
            <w:tcW w:type="dxa" w:w="2160"/>
          </w:tcPr>
          <w:p>
            <w:r>
              <w:t>1.36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仅 营收增速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</w:tbl>
    <w:p>
      <w:r>
        <w:t>消融：去掉毛利率反而 +1.36% —— 扩样后毛利率为负贡献；原「毛利率最关键」的判断同样来自小样本。</w:t>
      </w:r>
    </w:p>
    <w:p>
      <w:r>
        <w:t>数据健全性：h=5 前向收益均值 +1.98%、中位 +0.86%，规模效应可见，样本可信；局限是毛利率等字段覆盖率约 54%（3 期缺失）。</w:t>
      </w:r>
    </w:p>
    <w:p>
      <w:r>
        <w:t>定位修正：因子策略未通过大样本样本外检验；作品应定位为「严谨可复现的评估框架 + 带误报率的风险预筛选」，不声称策略 alpha。这是本轮最有价值的结论。</w:t>
      </w:r>
    </w:p>
    <w:p>
      <w:pPr>
        <w:pStyle w:val="Heading1"/>
      </w:pPr>
      <w:r>
        <w:t>十三、主打能力盲测：财报风险分析的多轮优化</w:t>
      </w:r>
    </w:p>
    <w:p>
      <w:r>
        <w:t>目的：对主打的财报风险分析做带对照的盲测（正样本=已知造假/违规，规则按财务逻辑预先定义、不逐家看标签），并记录多轮优化。</w:t>
      </w:r>
    </w:p>
    <w:p>
      <w:r>
        <w:t>样本：正样本 11 家（在库的已知造假/违规公司，其余多已退市）；对照 5,560 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轮次</w:t>
            </w:r>
          </w:p>
        </w:tc>
        <w:tc>
          <w:tcPr>
            <w:tcW w:type="dxa" w:w="1440"/>
          </w:tcPr>
          <w:p>
            <w:r>
              <w:t>AUC</w:t>
            </w:r>
          </w:p>
        </w:tc>
        <w:tc>
          <w:tcPr>
            <w:tcW w:type="dxa" w:w="1440"/>
          </w:tcPr>
          <w:p>
            <w:r>
              <w:t>召回@前1%</w:t>
            </w:r>
          </w:p>
        </w:tc>
        <w:tc>
          <w:tcPr>
            <w:tcW w:type="dxa" w:w="1440"/>
          </w:tcPr>
          <w:p>
            <w:r>
              <w:t>召回@前5%</w:t>
            </w:r>
          </w:p>
        </w:tc>
        <w:tc>
          <w:tcPr>
            <w:tcW w:type="dxa" w:w="1440"/>
          </w:tcPr>
          <w:p>
            <w:r>
              <w:t>精确@前5%</w:t>
            </w:r>
          </w:p>
        </w:tc>
        <w:tc>
          <w:tcPr>
            <w:tcW w:type="dxa" w:w="1440"/>
          </w:tcPr>
          <w:p>
            <w:r>
              <w:t>召回@误报10%</w:t>
            </w:r>
          </w:p>
        </w:tc>
      </w:tr>
      <w:tr>
        <w:tc>
          <w:tcPr>
            <w:tcW w:type="dxa" w:w="1440"/>
          </w:tcPr>
          <w:p>
            <w:r>
              <w:t>R1 风险分(基线)</w:t>
            </w:r>
          </w:p>
        </w:tc>
        <w:tc>
          <w:tcPr>
            <w:tcW w:type="dxa" w:w="1440"/>
          </w:tcPr>
          <w:p>
            <w:r>
              <w:t>0.7341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27.3</w:t>
            </w:r>
          </w:p>
        </w:tc>
      </w:tr>
      <w:tr>
        <w:tc>
          <w:tcPr>
            <w:tcW w:type="dxa" w:w="1440"/>
          </w:tcPr>
          <w:p>
            <w:r>
              <w:t>R2 风险分+3×高价值红旗</w:t>
            </w:r>
          </w:p>
        </w:tc>
        <w:tc>
          <w:tcPr>
            <w:tcW w:type="dxa" w:w="1440"/>
          </w:tcPr>
          <w:p>
            <w:r>
              <w:t>0.747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27.3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27.3</w:t>
            </w:r>
          </w:p>
        </w:tc>
      </w:tr>
      <w:tr>
        <w:tc>
          <w:tcPr>
            <w:tcW w:type="dxa" w:w="1440"/>
          </w:tcPr>
          <w:p>
            <w:r>
              <w:t>R3 风险分+2×财务规则</w:t>
            </w:r>
          </w:p>
        </w:tc>
        <w:tc>
          <w:tcPr>
            <w:tcW w:type="dxa" w:w="1440"/>
          </w:tcPr>
          <w:p>
            <w:r>
              <w:t>0.7243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36.4</w:t>
            </w:r>
          </w:p>
        </w:tc>
      </w:tr>
      <w:tr>
        <w:tc>
          <w:tcPr>
            <w:tcW w:type="dxa" w:w="1440"/>
          </w:tcPr>
          <w:p>
            <w:r>
              <w:t>R4 集成(0.5分+3红旗+3规则)</w:t>
            </w:r>
          </w:p>
        </w:tc>
        <w:tc>
          <w:tcPr>
            <w:tcW w:type="dxa" w:w="1440"/>
          </w:tcPr>
          <w:p>
            <w:r>
              <w:t>0.7384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27.3</w:t>
            </w:r>
          </w:p>
        </w:tc>
      </w:tr>
      <w:tr>
        <w:tc>
          <w:tcPr>
            <w:tcW w:type="dxa" w:w="1440"/>
          </w:tcPr>
          <w:p>
            <w:r>
              <w:t>R5 集成调优(0.6分+4红旗+3规则)</w:t>
            </w:r>
          </w:p>
        </w:tc>
        <w:tc>
          <w:tcPr>
            <w:tcW w:type="dxa" w:w="1440"/>
          </w:tcPr>
          <w:p>
            <w:r>
              <w:t>0.7446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27.3</w:t>
            </w:r>
          </w:p>
        </w:tc>
      </w:tr>
      <w:tr>
        <w:tc>
          <w:tcPr>
            <w:tcW w:type="dxa" w:w="1440"/>
          </w:tcPr>
          <w:p>
            <w:r>
              <w:t>R6 仅红旗+规则(无风险分)</w:t>
            </w:r>
          </w:p>
        </w:tc>
        <w:tc>
          <w:tcPr>
            <w:tcW w:type="dxa" w:w="1440"/>
          </w:tcPr>
          <w:p>
            <w:r>
              <w:t>0.6274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</w:tr>
      <w:tr>
        <w:tc>
          <w:tcPr>
            <w:tcW w:type="dxa" w:w="1440"/>
          </w:tcPr>
          <w:p>
            <w:r>
              <w:t>R7 仅规则</w:t>
            </w:r>
          </w:p>
        </w:tc>
        <w:tc>
          <w:tcPr>
            <w:tcW w:type="dxa" w:w="1440"/>
          </w:tcPr>
          <w:p>
            <w:r>
              <w:t>0.5137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9.1</w:t>
            </w:r>
          </w:p>
        </w:tc>
      </w:tr>
    </w:tbl>
    <w:p>
      <w:r>
        <w:t>结论：最佳为 R2（风险分+3×高价值红旗），AUC 0.7470（基线 0.7341），召回@前5% 由 18.2% 升到 27.3%；R3（+财务规则）在误报 10% 预算下召回最高 36.4%。</w:t>
      </w:r>
    </w:p>
    <w:p>
      <w:r>
        <w:t>诚实记录：R4/R5 的集成调权并未超过 R2；去掉风险分（R6 0.627）、仅规则（R7 0.514）都显著变差 —— 说明风险分是主引擎。</w:t>
      </w:r>
    </w:p>
    <w:p>
      <w:r>
        <w:t>显著性：R2-R1 增益 +0.0128，500 次 bootstrap 中 100% 为正，留一任一正样本后仍成立 —— 小但稳健。</w:t>
      </w:r>
    </w:p>
    <w:p>
      <w:r>
        <w:t>定位：精确率仅 0.7-1.1%，故为「预筛选」；正样本仅 11 家，绝对水平仍有不确定性。线上保留原风险分，R2/R3 作为可选提示层留档。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