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4D" w:rsidRPr="0004784D" w:rsidRDefault="0004784D" w:rsidP="0004784D">
      <w:pPr>
        <w:autoSpaceDE w:val="0"/>
        <w:autoSpaceDN w:val="0"/>
        <w:adjustRightInd w:val="0"/>
        <w:jc w:val="left"/>
        <w:rPr>
          <w:rFonts w:ascii="黑体" w:eastAsia="黑体" w:hAnsi="黑体" w:cs="Times New Roman" w:hint="eastAsia"/>
          <w:kern w:val="0"/>
          <w:szCs w:val="21"/>
        </w:rPr>
      </w:pPr>
      <w:r w:rsidRPr="0004784D">
        <w:rPr>
          <w:rFonts w:ascii="黑体" w:eastAsia="黑体" w:hAnsi="黑体" w:cs="Times New Roman" w:hint="eastAsia"/>
          <w:kern w:val="0"/>
          <w:szCs w:val="21"/>
        </w:rPr>
        <w:t>一 Q-Q图分布情况：</w:t>
      </w:r>
    </w:p>
    <w:p w:rsidR="0004784D" w:rsidRPr="0004784D" w:rsidRDefault="0004784D" w:rsidP="0004784D">
      <w:pPr>
        <w:autoSpaceDE w:val="0"/>
        <w:autoSpaceDN w:val="0"/>
        <w:adjustRightInd w:val="0"/>
        <w:ind w:firstLineChars="200" w:firstLine="420"/>
        <w:jc w:val="left"/>
        <w:rPr>
          <w:rFonts w:ascii="黑体" w:eastAsia="黑体" w:hAnsi="黑体" w:cs="Times New Roman"/>
          <w:kern w:val="0"/>
          <w:szCs w:val="21"/>
        </w:rPr>
      </w:pPr>
      <w:r w:rsidRPr="0004784D">
        <w:rPr>
          <w:rFonts w:ascii="黑体" w:eastAsia="黑体" w:hAnsi="黑体" w:cs="Times New Roman" w:hint="eastAsia"/>
          <w:kern w:val="0"/>
          <w:szCs w:val="21"/>
        </w:rPr>
        <w:t>从对比催雨云层与未催云层的正态分布基本一致，不存在催雨效应，但是对于对数催雨云层的数据显著存在围绕线分布，即有明显的正态分布情况，即两端小中间高的数值分布情况，但是对于对数未催雨云层的数据分布不存在明显的正态分布情况。</w:t>
      </w:r>
    </w:p>
    <w:tbl>
      <w:tblPr>
        <w:tblW w:w="5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727"/>
        <w:gridCol w:w="951"/>
        <w:gridCol w:w="972"/>
        <w:gridCol w:w="889"/>
        <w:gridCol w:w="973"/>
      </w:tblGrid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b/>
                <w:bCs/>
                <w:color w:val="000000"/>
                <w:kern w:val="0"/>
                <w:szCs w:val="21"/>
              </w:rPr>
              <w:t>估计的分布参数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55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催雨云层</w:t>
            </w:r>
          </w:p>
        </w:tc>
        <w:tc>
          <w:tcPr>
            <w:tcW w:w="9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未催雨云层</w:t>
            </w:r>
          </w:p>
        </w:tc>
        <w:tc>
          <w:tcPr>
            <w:tcW w:w="88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对数催雨</w:t>
            </w:r>
          </w:p>
        </w:tc>
        <w:tc>
          <w:tcPr>
            <w:tcW w:w="9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对数未催雨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3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正态分布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位置</w:t>
            </w:r>
          </w:p>
        </w:tc>
        <w:tc>
          <w:tcPr>
            <w:tcW w:w="9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441.9846</w:t>
            </w:r>
          </w:p>
        </w:tc>
        <w:tc>
          <w:tcPr>
            <w:tcW w:w="97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164.5504</w:t>
            </w:r>
          </w:p>
        </w:tc>
        <w:tc>
          <w:tcPr>
            <w:tcW w:w="88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5.1342</w:t>
            </w:r>
          </w:p>
        </w:tc>
        <w:tc>
          <w:tcPr>
            <w:tcW w:w="9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3.8133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3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标度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650.78717</w:t>
            </w:r>
          </w:p>
        </w:tc>
        <w:tc>
          <w:tcPr>
            <w:tcW w:w="97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278.44974</w:t>
            </w:r>
          </w:p>
        </w:tc>
        <w:tc>
          <w:tcPr>
            <w:tcW w:w="88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1.59951</w:t>
            </w:r>
          </w:p>
        </w:tc>
        <w:tc>
          <w:tcPr>
            <w:tcW w:w="9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2.23192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个案未进行加权。</w:t>
            </w:r>
          </w:p>
        </w:tc>
      </w:tr>
    </w:tbl>
    <w:p w:rsidR="0004784D" w:rsidRPr="0004784D" w:rsidRDefault="0004784D" w:rsidP="0004784D">
      <w:pPr>
        <w:autoSpaceDE w:val="0"/>
        <w:autoSpaceDN w:val="0"/>
        <w:adjustRightInd w:val="0"/>
        <w:spacing w:line="400" w:lineRule="atLeast"/>
        <w:jc w:val="left"/>
        <w:rPr>
          <w:rFonts w:ascii="黑体" w:eastAsia="黑体" w:hAnsi="黑体" w:cs="Times New Roman"/>
          <w:kern w:val="0"/>
          <w:szCs w:val="21"/>
        </w:rPr>
      </w:pPr>
    </w:p>
    <w:p w:rsidR="00A066BF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drawing>
          <wp:inline distT="0" distB="0" distL="0" distR="0">
            <wp:extent cx="5731510" cy="45833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19" cy="458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/>
          <w:noProof/>
          <w:szCs w:val="21"/>
        </w:rPr>
        <w:lastRenderedPageBreak/>
        <w:drawing>
          <wp:inline distT="0" distB="0" distL="0" distR="0">
            <wp:extent cx="5731510" cy="45833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 w:hint="eastAsia"/>
          <w:szCs w:val="21"/>
        </w:rPr>
        <w:t>二  箱图分布情况</w:t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 w:hint="eastAsia"/>
          <w:noProof/>
          <w:szCs w:val="21"/>
        </w:rPr>
        <w:drawing>
          <wp:inline distT="0" distB="0" distL="0" distR="0">
            <wp:extent cx="5731510" cy="458337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  <w:r w:rsidRPr="0004784D">
        <w:rPr>
          <w:rFonts w:ascii="黑体" w:eastAsia="黑体" w:hAnsi="黑体" w:hint="eastAsia"/>
          <w:szCs w:val="21"/>
        </w:rPr>
        <w:t>从箱图对比可以看出,对于没有催雨的云层的均值与催雨的云层的均值基本分布一致,但是二者中位数置信区间和中位数存在一定的差别,,催雨的中值置信区间的上限121,高于催雨云层的上线数值95,从图中可以判断得出..</w:t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 w:rsidP="0004784D">
      <w:pPr>
        <w:autoSpaceDE w:val="0"/>
        <w:autoSpaceDN w:val="0"/>
        <w:adjustRightInd w:val="0"/>
        <w:jc w:val="left"/>
        <w:rPr>
          <w:rFonts w:ascii="黑体" w:eastAsia="黑体" w:hAnsi="黑体" w:cs="Times New Roman"/>
          <w:kern w:val="0"/>
          <w:szCs w:val="21"/>
        </w:rPr>
      </w:pPr>
    </w:p>
    <w:tbl>
      <w:tblPr>
        <w:tblW w:w="10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9"/>
        <w:gridCol w:w="970"/>
        <w:gridCol w:w="1608"/>
        <w:gridCol w:w="1075"/>
        <w:gridCol w:w="950"/>
        <w:gridCol w:w="888"/>
        <w:gridCol w:w="920"/>
        <w:gridCol w:w="950"/>
        <w:gridCol w:w="889"/>
        <w:gridCol w:w="1026"/>
      </w:tblGrid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0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3650" w:type="dxa"/>
            <w:gridSpan w:val="3"/>
            <w:vMerge w:val="restar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组别</w:t>
            </w:r>
          </w:p>
        </w:tc>
        <w:tc>
          <w:tcPr>
            <w:tcW w:w="950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统计量</w:t>
            </w:r>
          </w:p>
        </w:tc>
        <w:tc>
          <w:tcPr>
            <w:tcW w:w="888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标准误</w:t>
            </w:r>
          </w:p>
        </w:tc>
        <w:tc>
          <w:tcPr>
            <w:tcW w:w="3785" w:type="dxa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Bootstrap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  <w:vertAlign w:val="superscript"/>
              </w:rPr>
              <w:t>a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3650" w:type="dxa"/>
            <w:gridSpan w:val="3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8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vMerge w:val="restart"/>
            <w:tcBorders>
              <w:top w:val="nil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偏差</w:t>
            </w:r>
          </w:p>
        </w:tc>
        <w:tc>
          <w:tcPr>
            <w:tcW w:w="950" w:type="dxa"/>
            <w:vMerge w:val="restart"/>
            <w:tcBorders>
              <w:top w:val="nil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标准误</w:t>
            </w:r>
          </w:p>
        </w:tc>
        <w:tc>
          <w:tcPr>
            <w:tcW w:w="1915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95%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置信区间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3650" w:type="dxa"/>
            <w:gridSpan w:val="3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8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vMerge/>
            <w:tcBorders>
              <w:top w:val="nil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vMerge/>
            <w:tcBorders>
              <w:top w:val="nil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下限</w:t>
            </w:r>
          </w:p>
        </w:tc>
        <w:tc>
          <w:tcPr>
            <w:tcW w:w="102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上限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降雨量</w:t>
            </w:r>
          </w:p>
        </w:tc>
        <w:tc>
          <w:tcPr>
            <w:tcW w:w="96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催雨云层</w:t>
            </w:r>
          </w:p>
        </w:tc>
        <w:tc>
          <w:tcPr>
            <w:tcW w:w="2681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均值</w:t>
            </w:r>
          </w:p>
        </w:tc>
        <w:tc>
          <w:tcPr>
            <w:tcW w:w="95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163.6235</w:t>
            </w:r>
          </w:p>
        </w:tc>
        <w:tc>
          <w:tcPr>
            <w:tcW w:w="88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54.71026</w:t>
            </w:r>
          </w:p>
        </w:tc>
        <w:tc>
          <w:tcPr>
            <w:tcW w:w="92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-.9345</w:t>
            </w:r>
          </w:p>
        </w:tc>
        <w:tc>
          <w:tcPr>
            <w:tcW w:w="95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50.9590</w:t>
            </w:r>
          </w:p>
        </w:tc>
        <w:tc>
          <w:tcPr>
            <w:tcW w:w="88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75.0058</w:t>
            </w:r>
          </w:p>
        </w:tc>
        <w:tc>
          <w:tcPr>
            <w:tcW w:w="102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271.3492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16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均值的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 95%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置信区间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下限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50.9456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上限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276.3014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5%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修整均值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119.7423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7.8828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46.9704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56.1901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237.1089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FF0000"/>
                <w:kern w:val="0"/>
                <w:szCs w:val="21"/>
              </w:rPr>
              <w:t>中值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44.2000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color w:val="FF0000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8.7158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26.2561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26.3000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121.4000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方差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77823.528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-3133.056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41578.936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9170.084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164077.315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标准差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278.96869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-18.16562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81.72460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95.75950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405.06453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极小值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.01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极大值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1202.60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范围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1202.59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四分位距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162.73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20.13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97.09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59.73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340.57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偏度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2.781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.456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-.292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.750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1.134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4.115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峰度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8.131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.887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-1.362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4.934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-.176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18.764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  <w:tc>
          <w:tcPr>
            <w:tcW w:w="969" w:type="dxa"/>
            <w:vMerge w:val="restart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未催雨云层</w:t>
            </w: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均值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164.5504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54.60849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-1.1952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52.9232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76.0255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281.8612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6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均值的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 95%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置信区间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下限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52.0821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6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上限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277.0187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5%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修整均值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120.7350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8.5745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47.6945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57.9202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246.4708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FF0000"/>
                <w:kern w:val="0"/>
                <w:szCs w:val="21"/>
              </w:rPr>
              <w:t>中值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44.2000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color w:val="FF0000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9.3312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24.8709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26.3000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FF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FF0000"/>
                <w:kern w:val="0"/>
                <w:szCs w:val="21"/>
              </w:rPr>
              <w:t>95.0000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方差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77534.257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-4250.393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43172.058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8205.658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163908.405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标准差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278.44974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-21.80472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86.16624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90.58505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404.85603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极小值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.01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极大值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1202.60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范围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1202.59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四分位距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159.60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20.57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90.59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56.81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334.92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偏度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2.789</w:t>
            </w:r>
          </w:p>
        </w:tc>
        <w:tc>
          <w:tcPr>
            <w:tcW w:w="888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.456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-.347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.740</w:t>
            </w:r>
          </w:p>
        </w:tc>
        <w:tc>
          <w:tcPr>
            <w:tcW w:w="889" w:type="dxa"/>
            <w:tcBorders>
              <w:top w:val="nil"/>
              <w:bottom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1.073</w:t>
            </w:r>
          </w:p>
        </w:tc>
        <w:tc>
          <w:tcPr>
            <w:tcW w:w="102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4.026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969" w:type="dxa"/>
            <w:vMerge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2681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峰度</w:t>
            </w:r>
          </w:p>
        </w:tc>
        <w:tc>
          <w:tcPr>
            <w:tcW w:w="95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8.171</w:t>
            </w:r>
          </w:p>
        </w:tc>
        <w:tc>
          <w:tcPr>
            <w:tcW w:w="88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.887</w:t>
            </w:r>
          </w:p>
        </w:tc>
        <w:tc>
          <w:tcPr>
            <w:tcW w:w="92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-1.686</w:t>
            </w:r>
          </w:p>
        </w:tc>
        <w:tc>
          <w:tcPr>
            <w:tcW w:w="95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4.808</w:t>
            </w:r>
          </w:p>
        </w:tc>
        <w:tc>
          <w:tcPr>
            <w:tcW w:w="88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-.415</w:t>
            </w:r>
          </w:p>
        </w:tc>
        <w:tc>
          <w:tcPr>
            <w:tcW w:w="102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17.967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a. Unless otherwise noted, bootstrap results are based on 1000 bootstrap samples</w:t>
            </w:r>
          </w:p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</w:tr>
    </w:tbl>
    <w:p w:rsidR="0004784D" w:rsidRPr="0004784D" w:rsidRDefault="0004784D" w:rsidP="0004784D">
      <w:pPr>
        <w:autoSpaceDE w:val="0"/>
        <w:autoSpaceDN w:val="0"/>
        <w:adjustRightInd w:val="0"/>
        <w:spacing w:line="400" w:lineRule="atLeast"/>
        <w:jc w:val="left"/>
        <w:rPr>
          <w:rFonts w:ascii="黑体" w:eastAsia="黑体" w:hAnsi="黑体" w:cs="Times New Roman"/>
          <w:kern w:val="0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 w:rsidP="0004784D">
      <w:pPr>
        <w:autoSpaceDE w:val="0"/>
        <w:autoSpaceDN w:val="0"/>
        <w:adjustRightInd w:val="0"/>
        <w:jc w:val="left"/>
        <w:rPr>
          <w:rFonts w:ascii="黑体" w:eastAsia="黑体" w:hAnsi="黑体" w:cs="žd1O53"/>
          <w:b/>
          <w:bCs/>
          <w:color w:val="000000"/>
          <w:kern w:val="0"/>
          <w:szCs w:val="21"/>
        </w:rPr>
      </w:pPr>
    </w:p>
    <w:p w:rsidR="0004784D" w:rsidRPr="0004784D" w:rsidRDefault="0004784D" w:rsidP="0004784D">
      <w:pPr>
        <w:autoSpaceDE w:val="0"/>
        <w:autoSpaceDN w:val="0"/>
        <w:adjustRightInd w:val="0"/>
        <w:jc w:val="left"/>
        <w:rPr>
          <w:rFonts w:ascii="黑体" w:eastAsia="黑体" w:hAnsi="黑体" w:cs="žd1O53"/>
          <w:b/>
          <w:bCs/>
          <w:color w:val="000000"/>
          <w:kern w:val="0"/>
          <w:szCs w:val="21"/>
        </w:rPr>
      </w:pPr>
      <w:r w:rsidRPr="0004784D">
        <w:rPr>
          <w:rFonts w:ascii="黑体" w:eastAsia="黑体" w:hAnsi="黑体" w:cs="žd1O53" w:hint="eastAsia"/>
          <w:b/>
          <w:bCs/>
          <w:color w:val="000000"/>
          <w:kern w:val="0"/>
          <w:szCs w:val="21"/>
        </w:rPr>
        <w:t>附加  ：</w:t>
      </w:r>
      <w:r w:rsidRPr="0004784D">
        <w:rPr>
          <w:rFonts w:ascii="黑体" w:eastAsia="黑体" w:hAnsi="黑体" w:cs="žd1O53"/>
          <w:b/>
          <w:bCs/>
          <w:color w:val="000000"/>
          <w:kern w:val="0"/>
          <w:szCs w:val="21"/>
        </w:rPr>
        <w:t>Mann-Whitney 检验</w:t>
      </w:r>
    </w:p>
    <w:p w:rsidR="0004784D" w:rsidRPr="0004784D" w:rsidRDefault="0004784D" w:rsidP="0004784D">
      <w:pPr>
        <w:autoSpaceDE w:val="0"/>
        <w:autoSpaceDN w:val="0"/>
        <w:adjustRightInd w:val="0"/>
        <w:jc w:val="left"/>
        <w:rPr>
          <w:rFonts w:ascii="黑体" w:eastAsia="黑体" w:hAnsi="黑体" w:cs="Times New Roman"/>
          <w:kern w:val="0"/>
          <w:szCs w:val="21"/>
        </w:rPr>
      </w:pPr>
    </w:p>
    <w:tbl>
      <w:tblPr>
        <w:tblW w:w="2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8"/>
        <w:gridCol w:w="889"/>
      </w:tblGrid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b/>
                <w:bCs/>
                <w:color w:val="000000"/>
                <w:kern w:val="0"/>
                <w:szCs w:val="21"/>
              </w:rPr>
              <w:t>检验统计量</w:t>
            </w: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  <w:vertAlign w:val="superscript"/>
              </w:rPr>
              <w:t>a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4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 w:cs="Times New Roman"/>
                <w:kern w:val="0"/>
                <w:szCs w:val="21"/>
              </w:rPr>
            </w:pPr>
          </w:p>
        </w:tc>
        <w:tc>
          <w:tcPr>
            <w:tcW w:w="88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降雨量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4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lastRenderedPageBreak/>
              <w:t>Mann-Whitney U</w:t>
            </w:r>
          </w:p>
        </w:tc>
        <w:tc>
          <w:tcPr>
            <w:tcW w:w="88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331.500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Wilcoxon W</w:t>
            </w:r>
          </w:p>
        </w:tc>
        <w:tc>
          <w:tcPr>
            <w:tcW w:w="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682.500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4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Z</w:t>
            </w:r>
          </w:p>
        </w:tc>
        <w:tc>
          <w:tcPr>
            <w:tcW w:w="88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-.119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34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渐近显著性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(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双侧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8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b/>
                <w:bCs/>
                <w:color w:val="000000"/>
                <w:kern w:val="0"/>
                <w:szCs w:val="21"/>
              </w:rPr>
              <w:t>.905</w:t>
            </w:r>
          </w:p>
        </w:tc>
      </w:tr>
      <w:tr w:rsidR="0004784D" w:rsidRPr="000478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a.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分组变量</w:t>
            </w:r>
            <w:r w:rsidRPr="0004784D">
              <w:rPr>
                <w:rFonts w:ascii="黑体" w:eastAsia="黑体" w:hAnsi="黑体" w:cs="MingLiU"/>
                <w:color w:val="000000"/>
                <w:kern w:val="0"/>
                <w:szCs w:val="21"/>
              </w:rPr>
              <w:t xml:space="preserve">: </w:t>
            </w:r>
            <w:r w:rsidRPr="0004784D">
              <w:rPr>
                <w:rFonts w:ascii="黑体" w:eastAsia="黑体" w:hAnsi="黑体" w:cs="MingLiU" w:hint="eastAsia"/>
                <w:color w:val="000000"/>
                <w:kern w:val="0"/>
                <w:szCs w:val="21"/>
              </w:rPr>
              <w:t>组别</w:t>
            </w:r>
          </w:p>
          <w:p w:rsidR="0004784D" w:rsidRPr="0004784D" w:rsidRDefault="0004784D" w:rsidP="0004784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黑体" w:eastAsia="黑体" w:hAnsi="黑体" w:cs="MingLiU"/>
                <w:color w:val="000000"/>
                <w:kern w:val="0"/>
                <w:szCs w:val="21"/>
              </w:rPr>
            </w:pPr>
          </w:p>
        </w:tc>
      </w:tr>
    </w:tbl>
    <w:p w:rsidR="0004784D" w:rsidRPr="0004784D" w:rsidRDefault="0004784D" w:rsidP="0004784D">
      <w:pPr>
        <w:autoSpaceDE w:val="0"/>
        <w:autoSpaceDN w:val="0"/>
        <w:adjustRightInd w:val="0"/>
        <w:spacing w:line="400" w:lineRule="atLeast"/>
        <w:jc w:val="left"/>
        <w:rPr>
          <w:rFonts w:ascii="黑体" w:eastAsia="黑体" w:hAnsi="黑体" w:cs="Times New Roman"/>
          <w:kern w:val="0"/>
          <w:szCs w:val="21"/>
        </w:rPr>
      </w:pPr>
      <w:r w:rsidRPr="0004784D">
        <w:rPr>
          <w:rFonts w:ascii="黑体" w:eastAsia="黑体" w:hAnsi="黑体" w:cs="Times New Roman" w:hint="eastAsia"/>
          <w:kern w:val="0"/>
          <w:szCs w:val="21"/>
        </w:rPr>
        <w:t>通过对比两组非参数检验中的两个相关样本方法，得出，两个云层的非参数检验，差异较小，p=0.905&gt;0.05，说明二者云层数据分布基本一致，不存在显著的差异，再次验证了上述的判断情况。</w:t>
      </w: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 w:hint="eastAsia"/>
          <w:szCs w:val="21"/>
        </w:rPr>
      </w:pPr>
    </w:p>
    <w:p w:rsidR="0004784D" w:rsidRPr="0004784D" w:rsidRDefault="0004784D">
      <w:pPr>
        <w:rPr>
          <w:rFonts w:ascii="黑体" w:eastAsia="黑体" w:hAnsi="黑体"/>
          <w:szCs w:val="21"/>
        </w:rPr>
      </w:pPr>
      <w:r w:rsidRPr="0004784D">
        <w:rPr>
          <w:rFonts w:ascii="黑体" w:eastAsia="黑体" w:hAnsi="黑体"/>
          <w:noProof/>
          <w:szCs w:val="21"/>
        </w:rPr>
        <w:drawing>
          <wp:inline distT="0" distB="0" distL="0" distR="0">
            <wp:extent cx="5731510" cy="4583371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784D" w:rsidRPr="0004784D" w:rsidSect="009916B9">
      <w:pgSz w:w="11906" w:h="1683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žd1O5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84D"/>
    <w:rsid w:val="0002287D"/>
    <w:rsid w:val="0004784D"/>
    <w:rsid w:val="001A0FE1"/>
    <w:rsid w:val="00955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B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8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7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2015-10-30T15:09:00Z</dcterms:created>
  <dcterms:modified xsi:type="dcterms:W3CDTF">2015-10-30T15:24:00Z</dcterms:modified>
</cp:coreProperties>
</file>