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Broker enrichment findings and implementation</w:t>
      </w:r>
    </w:p>
    <w:p>
      <w:pPr>
        <w:pStyle w:val="Subtitle"/>
      </w:pPr>
      <w:r>
        <w:t>Scout  |  September 12 2026</w:t>
      </w:r>
    </w:p>
    <w:p>
      <w:r>
        <w:t>Use Tavily to discover brokerage and listing pages, then Firecrawl to read and extract them. Preserve every explicitly attached agent and the evidence for each contact. Search results can identify useful candidates, but they do not establish the complete listing roster.</w:t>
      </w:r>
    </w:p>
    <w:p>
      <w:pPr>
        <w:pStyle w:val="Heading1"/>
      </w:pPr>
      <w:r>
        <w:t>Result for 118 Mulberry Street R4</w:t>
      </w:r>
    </w:p>
    <w:p>
      <w:r>
        <w:t>The email screenshot identifies 118 Mulberry Street #R4 in Little Italy, offered at $7,495 base rent with three bedrooms and one bathroom. The brokerage is DALLAL, with an office at 260 Madison Avenue, New York, NY 10016. No agent names, websites or contact details were supplied to the test input.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5256"/>
        <w:gridCol w:w="2592"/>
      </w:tblGrid>
      <w:tr>
        <w:trPr>
          <w:tblHeader/>
        </w:trPr>
        <w:tc>
          <w:tcPr>
            <w:tcW w:type="dxa" w:w="2088"/>
            <w:vAlign w:val="center"/>
            <w:shd w:fill="243C50"/>
            <w:tcMar>
              <w:top w:w="100" w:type="dxa"/>
              <w:left w:w="100" w:type="dxa"/>
              <w:bottom w:w="100" w:type="dxa"/>
              <w:right w:w="100" w:type="dxa"/>
            </w:tcMar>
          </w:tcPr>
          <w:p>
            <w:pPr>
              <w:spacing w:after="40"/>
            </w:pPr>
            <w:r>
              <w:rPr>
                <w:b/>
                <w:color w:val="FFFFFF"/>
                <w:sz w:val="20"/>
              </w:rPr>
              <w:t>Agent candidate</w:t>
            </w:r>
          </w:p>
        </w:tc>
        <w:tc>
          <w:tcPr>
            <w:tcW w:type="dxa" w:w="5256"/>
            <w:vAlign w:val="center"/>
            <w:shd w:fill="243C50"/>
            <w:tcMar>
              <w:top w:w="100" w:type="dxa"/>
              <w:left w:w="100" w:type="dxa"/>
              <w:bottom w:w="100" w:type="dxa"/>
              <w:right w:w="100" w:type="dxa"/>
            </w:tcMar>
          </w:tcPr>
          <w:p>
            <w:pPr>
              <w:spacing w:after="40"/>
            </w:pPr>
            <w:r>
              <w:rPr>
                <w:b/>
                <w:color w:val="FFFFFF"/>
                <w:sz w:val="20"/>
              </w:rPr>
              <w:t>Public business email</w:t>
            </w:r>
          </w:p>
        </w:tc>
        <w:tc>
          <w:tcPr>
            <w:tcW w:type="dxa" w:w="2592"/>
            <w:vAlign w:val="center"/>
            <w:shd w:fill="243C50"/>
            <w:tcMar>
              <w:top w:w="100" w:type="dxa"/>
              <w:left w:w="100" w:type="dxa"/>
              <w:bottom w:w="100" w:type="dxa"/>
              <w:right w:w="100" w:type="dxa"/>
            </w:tcMar>
          </w:tcPr>
          <w:p>
            <w:pPr>
              <w:spacing w:after="40"/>
            </w:pPr>
            <w:r>
              <w:rPr>
                <w:b/>
                <w:color w:val="FFFFFF"/>
                <w:sz w:val="20"/>
              </w:rPr>
              <w:t>Public business phone</w:t>
            </w:r>
          </w:p>
        </w:tc>
      </w:tr>
      <w:tr>
        <w:tc>
          <w:tcPr>
            <w:tcW w:type="dxa" w:w="2088"/>
            <w:vAlign w:val="center"/>
            <w:shd w:fill="FFFFFF"/>
            <w:tcMar>
              <w:top w:w="100" w:type="dxa"/>
              <w:left w:w="100" w:type="dxa"/>
              <w:bottom w:w="100" w:type="dxa"/>
              <w:right w:w="100" w:type="dxa"/>
            </w:tcMar>
          </w:tcPr>
          <w:p>
            <w:pPr>
              <w:spacing w:after="40"/>
            </w:pPr>
            <w:r>
              <w:rPr>
                <w:sz w:val="20"/>
              </w:rPr>
              <w:t>Javier Cruz</w:t>
            </w:r>
          </w:p>
        </w:tc>
        <w:tc>
          <w:tcPr>
            <w:tcW w:type="dxa" w:w="5256"/>
            <w:vAlign w:val="center"/>
            <w:shd w:fill="FFFFFF"/>
            <w:tcMar>
              <w:top w:w="100" w:type="dxa"/>
              <w:left w:w="100" w:type="dxa"/>
              <w:bottom w:w="100" w:type="dxa"/>
              <w:right w:w="100" w:type="dxa"/>
            </w:tcMar>
          </w:tcPr>
          <w:p>
            <w:pPr>
              <w:spacing w:after="40"/>
            </w:pPr>
            <w:r>
              <w:rPr>
                <w:sz w:val="20"/>
              </w:rPr>
              <w:t>javier@dallalnewyork.com</w:t>
            </w:r>
          </w:p>
        </w:tc>
        <w:tc>
          <w:tcPr>
            <w:tcW w:type="dxa" w:w="2592"/>
            <w:vAlign w:val="center"/>
            <w:shd w:fill="FFFFFF"/>
            <w:tcMar>
              <w:top w:w="100" w:type="dxa"/>
              <w:left w:w="100" w:type="dxa"/>
              <w:bottom w:w="100" w:type="dxa"/>
              <w:right w:w="100" w:type="dxa"/>
            </w:tcMar>
          </w:tcPr>
          <w:p>
            <w:pPr>
              <w:spacing w:after="40"/>
            </w:pPr>
            <w:r>
              <w:rPr>
                <w:sz w:val="20"/>
              </w:rPr>
              <w:t>(347) 654-8962</w:t>
            </w:r>
          </w:p>
        </w:tc>
      </w:tr>
      <w:tr>
        <w:tc>
          <w:tcPr>
            <w:tcW w:type="dxa" w:w="2088"/>
            <w:vAlign w:val="center"/>
            <w:shd w:fill="F3F6F8"/>
            <w:tcMar>
              <w:top w:w="100" w:type="dxa"/>
              <w:left w:w="100" w:type="dxa"/>
              <w:bottom w:w="100" w:type="dxa"/>
              <w:right w:w="100" w:type="dxa"/>
            </w:tcMar>
          </w:tcPr>
          <w:p>
            <w:pPr>
              <w:spacing w:after="40"/>
            </w:pPr>
            <w:r>
              <w:rPr>
                <w:sz w:val="20"/>
              </w:rPr>
              <w:t>Michael Dallal</w:t>
            </w:r>
          </w:p>
        </w:tc>
        <w:tc>
          <w:tcPr>
            <w:tcW w:type="dxa" w:w="5256"/>
            <w:vAlign w:val="center"/>
            <w:shd w:fill="F3F6F8"/>
            <w:tcMar>
              <w:top w:w="100" w:type="dxa"/>
              <w:left w:w="100" w:type="dxa"/>
              <w:bottom w:w="100" w:type="dxa"/>
              <w:right w:w="100" w:type="dxa"/>
            </w:tcMar>
          </w:tcPr>
          <w:p>
            <w:pPr>
              <w:spacing w:after="40"/>
            </w:pPr>
            <w:r>
              <w:rPr>
                <w:sz w:val="20"/>
              </w:rPr>
              <w:t>mike@dallalnewyork.com</w:t>
            </w:r>
          </w:p>
        </w:tc>
        <w:tc>
          <w:tcPr>
            <w:tcW w:type="dxa" w:w="2592"/>
            <w:vAlign w:val="center"/>
            <w:shd w:fill="F3F6F8"/>
            <w:tcMar>
              <w:top w:w="100" w:type="dxa"/>
              <w:left w:w="100" w:type="dxa"/>
              <w:bottom w:w="100" w:type="dxa"/>
              <w:right w:w="100" w:type="dxa"/>
            </w:tcMar>
          </w:tcPr>
          <w:p>
            <w:pPr>
              <w:spacing w:after="40"/>
            </w:pPr>
            <w:r>
              <w:rPr>
                <w:sz w:val="20"/>
              </w:rPr>
              <w:t>(516) 673-7155</w:t>
            </w:r>
          </w:p>
        </w:tc>
      </w:tr>
    </w:tbl>
    <w:p/>
    <w:p>
      <w:r>
        <w:t>Both contacts were verified on official DALLAL profiles. Search results for the exact #R4 page associated both names with the listing. The official brokerage site did not yield a matching current listing detail page, so the run returned needs_review, an empty agents array, and both people in candidateAgents. The complete roster remains unverified.</w:t>
      </w:r>
    </w:p>
    <w:p>
      <w:r>
        <w:t>R4 and 4R must remain distinct. An earlier #4R result associated Samantha Krot with the property. The same street, price and room count do not justify importing that agent into #R4. The general brokerage mailbox is also not a substitute for a listing agent.</w:t>
      </w:r>
    </w:p>
    <w:p>
      <w:r>
        <w:t xml:space="preserve">Contact sources: </w:t>
      </w:r>
      <w:hyperlink r:id="rId9">
        <w:r>
          <w:rPr>
            <w:color w:val="174D70"/>
          </w:rPr>
          <w:t>Javier Cruz</w:t>
        </w:r>
      </w:hyperlink>
      <w:r>
        <w:t xml:space="preserve"> and </w:t>
      </w:r>
      <w:hyperlink r:id="rId10">
        <w:r>
          <w:rPr>
            <w:color w:val="174D70"/>
          </w:rPr>
          <w:t>Michael Dallal</w:t>
        </w:r>
      </w:hyperlink>
      <w:r>
        <w:t xml:space="preserve">. Attribution candidate: </w:t>
      </w:r>
      <w:hyperlink r:id="rId11">
        <w:r>
          <w:rPr>
            <w:color w:val="174D70"/>
          </w:rPr>
          <w:t>the exact R4 listing</w:t>
        </w:r>
      </w:hyperlink>
      <w:r>
        <w:t xml:space="preserve"> (search index only).</w:t>
      </w:r>
    </w:p>
    <w:p>
      <w:r>
        <w:br w:type="page"/>
      </w:r>
    </w:p>
    <w:p>
      <w:pPr>
        <w:pStyle w:val="Heading1"/>
      </w:pPr>
      <w:r>
        <w:t>Technology choices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5616"/>
        <w:gridCol w:w="2880"/>
      </w:tblGrid>
      <w:tr>
        <w:trPr>
          <w:tblHeader/>
        </w:trPr>
        <w:tc>
          <w:tcPr>
            <w:tcW w:type="dxa" w:w="1440"/>
            <w:vAlign w:val="center"/>
            <w:shd w:fill="243C50"/>
            <w:tcMar>
              <w:top w:w="100" w:type="dxa"/>
              <w:left w:w="100" w:type="dxa"/>
              <w:bottom w:w="100" w:type="dxa"/>
              <w:right w:w="100" w:type="dxa"/>
            </w:tcMar>
          </w:tcPr>
          <w:p>
            <w:pPr>
              <w:spacing w:after="40"/>
            </w:pPr>
            <w:r>
              <w:rPr>
                <w:b/>
                <w:color w:val="FFFFFF"/>
                <w:sz w:val="20"/>
              </w:rPr>
              <w:t>Technology</w:t>
            </w:r>
          </w:p>
        </w:tc>
        <w:tc>
          <w:tcPr>
            <w:tcW w:type="dxa" w:w="5616"/>
            <w:vAlign w:val="center"/>
            <w:shd w:fill="243C50"/>
            <w:tcMar>
              <w:top w:w="100" w:type="dxa"/>
              <w:left w:w="100" w:type="dxa"/>
              <w:bottom w:w="100" w:type="dxa"/>
              <w:right w:w="100" w:type="dxa"/>
            </w:tcMar>
          </w:tcPr>
          <w:p>
            <w:pPr>
              <w:spacing w:after="40"/>
            </w:pPr>
            <w:r>
              <w:rPr>
                <w:b/>
                <w:color w:val="FFFFFF"/>
                <w:sz w:val="20"/>
              </w:rPr>
              <w:t>Role in the implementation</w:t>
            </w:r>
          </w:p>
        </w:tc>
        <w:tc>
          <w:tcPr>
            <w:tcW w:type="dxa" w:w="2880"/>
            <w:vAlign w:val="center"/>
            <w:shd w:fill="243C50"/>
            <w:tcMar>
              <w:top w:w="100" w:type="dxa"/>
              <w:left w:w="100" w:type="dxa"/>
              <w:bottom w:w="100" w:type="dxa"/>
              <w:right w:w="100" w:type="dxa"/>
            </w:tcMar>
          </w:tcPr>
          <w:p>
            <w:pPr>
              <w:spacing w:after="40"/>
            </w:pPr>
            <w:r>
              <w:rPr>
                <w:b/>
                <w:color w:val="FFFFFF"/>
                <w:sz w:val="20"/>
              </w:rPr>
              <w:t>Decision</w:t>
            </w:r>
          </w:p>
        </w:tc>
      </w:tr>
      <w:tr>
        <w:tc>
          <w:tcPr>
            <w:tcW w:type="dxa" w:w="1440"/>
            <w:vAlign w:val="center"/>
            <w:shd w:fill="FFFFFF"/>
            <w:tcMar>
              <w:top w:w="100" w:type="dxa"/>
              <w:left w:w="100" w:type="dxa"/>
              <w:bottom w:w="100" w:type="dxa"/>
              <w:right w:w="100" w:type="dxa"/>
            </w:tcMar>
          </w:tcPr>
          <w:p>
            <w:pPr>
              <w:spacing w:after="40"/>
            </w:pPr>
            <w:r>
              <w:rPr>
                <w:sz w:val="20"/>
              </w:rPr>
              <w:t>Tavily</w:t>
            </w:r>
          </w:p>
        </w:tc>
        <w:tc>
          <w:tcPr>
            <w:tcW w:type="dxa" w:w="5616"/>
            <w:vAlign w:val="center"/>
            <w:shd w:fill="FFFFFF"/>
            <w:tcMar>
              <w:top w:w="100" w:type="dxa"/>
              <w:left w:w="100" w:type="dxa"/>
              <w:bottom w:w="100" w:type="dxa"/>
              <w:right w:w="100" w:type="dxa"/>
            </w:tcMar>
          </w:tcPr>
          <w:p>
            <w:pPr>
              <w:spacing w:after="40"/>
            </w:pPr>
            <w:r>
              <w:rPr>
                <w:sz w:val="20"/>
              </w:rPr>
              <w:t>Search for official brokerage and exact listing URLs</w:t>
            </w:r>
          </w:p>
        </w:tc>
        <w:tc>
          <w:tcPr>
            <w:tcW w:type="dxa" w:w="2880"/>
            <w:vAlign w:val="center"/>
            <w:shd w:fill="FFFFFF"/>
            <w:tcMar>
              <w:top w:w="100" w:type="dxa"/>
              <w:left w:w="100" w:type="dxa"/>
              <w:bottom w:w="100" w:type="dxa"/>
              <w:right w:w="100" w:type="dxa"/>
            </w:tcMar>
          </w:tcPr>
          <w:p>
            <w:pPr>
              <w:spacing w:after="40"/>
            </w:pPr>
            <w:r>
              <w:rPr>
                <w:sz w:val="20"/>
              </w:rPr>
              <w:t>Preferred when its API key is configured</w:t>
            </w:r>
          </w:p>
        </w:tc>
      </w:tr>
      <w:tr>
        <w:tc>
          <w:tcPr>
            <w:tcW w:type="dxa" w:w="1440"/>
            <w:vAlign w:val="center"/>
            <w:shd w:fill="F3F6F8"/>
            <w:tcMar>
              <w:top w:w="100" w:type="dxa"/>
              <w:left w:w="100" w:type="dxa"/>
              <w:bottom w:w="100" w:type="dxa"/>
              <w:right w:w="100" w:type="dxa"/>
            </w:tcMar>
          </w:tcPr>
          <w:p>
            <w:pPr>
              <w:spacing w:after="40"/>
            </w:pPr>
            <w:r>
              <w:rPr>
                <w:sz w:val="20"/>
              </w:rPr>
              <w:t>Firecrawl</w:t>
            </w:r>
          </w:p>
        </w:tc>
        <w:tc>
          <w:tcPr>
            <w:tcW w:type="dxa" w:w="5616"/>
            <w:vAlign w:val="center"/>
            <w:shd w:fill="F3F6F8"/>
            <w:tcMar>
              <w:top w:w="100" w:type="dxa"/>
              <w:left w:w="100" w:type="dxa"/>
              <w:bottom w:w="100" w:type="dxa"/>
              <w:right w:w="100" w:type="dxa"/>
            </w:tcMar>
          </w:tcPr>
          <w:p>
            <w:pPr>
              <w:spacing w:after="40"/>
            </w:pPr>
            <w:r>
              <w:rPr>
                <w:sz w:val="20"/>
              </w:rPr>
              <w:t>Render pages and extract structured listing or profile data</w:t>
            </w:r>
          </w:p>
        </w:tc>
        <w:tc>
          <w:tcPr>
            <w:tcW w:type="dxa" w:w="2880"/>
            <w:vAlign w:val="center"/>
            <w:shd w:fill="F3F6F8"/>
            <w:tcMar>
              <w:top w:w="100" w:type="dxa"/>
              <w:left w:w="100" w:type="dxa"/>
              <w:bottom w:w="100" w:type="dxa"/>
              <w:right w:w="100" w:type="dxa"/>
            </w:tcMar>
          </w:tcPr>
          <w:p>
            <w:pPr>
              <w:spacing w:after="40"/>
            </w:pPr>
            <w:r>
              <w:rPr>
                <w:sz w:val="20"/>
              </w:rPr>
              <w:t>Reader and extractor; search fallback</w:t>
            </w:r>
          </w:p>
        </w:tc>
      </w:tr>
      <w:tr>
        <w:tc>
          <w:tcPr>
            <w:tcW w:type="dxa" w:w="1440"/>
            <w:vAlign w:val="center"/>
            <w:shd w:fill="FFFFFF"/>
            <w:tcMar>
              <w:top w:w="100" w:type="dxa"/>
              <w:left w:w="100" w:type="dxa"/>
              <w:bottom w:w="100" w:type="dxa"/>
              <w:right w:w="100" w:type="dxa"/>
            </w:tcMar>
          </w:tcPr>
          <w:p>
            <w:pPr>
              <w:spacing w:after="40"/>
            </w:pPr>
            <w:r>
              <w:rPr>
                <w:sz w:val="20"/>
              </w:rPr>
              <w:t>LangChain</w:t>
            </w:r>
          </w:p>
        </w:tc>
        <w:tc>
          <w:tcPr>
            <w:tcW w:type="dxa" w:w="5616"/>
            <w:vAlign w:val="center"/>
            <w:shd w:fill="FFFFFF"/>
            <w:tcMar>
              <w:top w:w="100" w:type="dxa"/>
              <w:left w:w="100" w:type="dxa"/>
              <w:bottom w:w="100" w:type="dxa"/>
              <w:right w:w="100" w:type="dxa"/>
            </w:tcMar>
          </w:tcPr>
          <w:p>
            <w:pPr>
              <w:spacing w:after="40"/>
            </w:pPr>
            <w:r>
              <w:rPr>
                <w:sz w:val="20"/>
              </w:rPr>
              <w:t>Model adapters, structured output and tool orchestration</w:t>
            </w:r>
          </w:p>
        </w:tc>
        <w:tc>
          <w:tcPr>
            <w:tcW w:type="dxa" w:w="2880"/>
            <w:vAlign w:val="center"/>
            <w:shd w:fill="FFFFFF"/>
            <w:tcMar>
              <w:top w:w="100" w:type="dxa"/>
              <w:left w:w="100" w:type="dxa"/>
              <w:bottom w:w="100" w:type="dxa"/>
              <w:right w:w="100" w:type="dxa"/>
            </w:tcMar>
          </w:tcPr>
          <w:p>
            <w:pPr>
              <w:spacing w:after="40"/>
            </w:pPr>
            <w:r>
              <w:rPr>
                <w:sz w:val="20"/>
              </w:rPr>
              <w:t>Optional; no dependency needed for v1</w:t>
            </w:r>
          </w:p>
        </w:tc>
      </w:tr>
      <w:tr>
        <w:tc>
          <w:tcPr>
            <w:tcW w:type="dxa" w:w="1440"/>
            <w:vAlign w:val="center"/>
            <w:shd w:fill="F3F6F8"/>
            <w:tcMar>
              <w:top w:w="100" w:type="dxa"/>
              <w:left w:w="100" w:type="dxa"/>
              <w:bottom w:w="100" w:type="dxa"/>
              <w:right w:w="100" w:type="dxa"/>
            </w:tcMar>
          </w:tcPr>
          <w:p>
            <w:pPr>
              <w:spacing w:after="40"/>
            </w:pPr>
            <w:r>
              <w:rPr>
                <w:sz w:val="20"/>
              </w:rPr>
              <w:t>LangGraph</w:t>
            </w:r>
          </w:p>
        </w:tc>
        <w:tc>
          <w:tcPr>
            <w:tcW w:type="dxa" w:w="5616"/>
            <w:vAlign w:val="center"/>
            <w:shd w:fill="F3F6F8"/>
            <w:tcMar>
              <w:top w:w="100" w:type="dxa"/>
              <w:left w:w="100" w:type="dxa"/>
              <w:bottom w:w="100" w:type="dxa"/>
              <w:right w:w="100" w:type="dxa"/>
            </w:tcMar>
          </w:tcPr>
          <w:p>
            <w:pPr>
              <w:spacing w:after="40"/>
            </w:pPr>
            <w:r>
              <w:rPr>
                <w:sz w:val="20"/>
              </w:rPr>
              <w:t>Persistent state and resumable branching workflows</w:t>
            </w:r>
          </w:p>
        </w:tc>
        <w:tc>
          <w:tcPr>
            <w:tcW w:type="dxa" w:w="2880"/>
            <w:vAlign w:val="center"/>
            <w:shd w:fill="F3F6F8"/>
            <w:tcMar>
              <w:top w:w="100" w:type="dxa"/>
              <w:left w:w="100" w:type="dxa"/>
              <w:bottom w:w="100" w:type="dxa"/>
              <w:right w:w="100" w:type="dxa"/>
            </w:tcMar>
          </w:tcPr>
          <w:p>
            <w:pPr>
              <w:spacing w:after="40"/>
            </w:pPr>
            <w:r>
              <w:rPr>
                <w:sz w:val="20"/>
              </w:rPr>
              <w:t>Consider when scale requires durable jobs</w:t>
            </w:r>
          </w:p>
        </w:tc>
      </w:tr>
    </w:tbl>
    <w:p/>
    <w:p>
      <w:r>
        <w:t>The incentive to use Tavily fits its discovery role. Firecrawl helps with JavaScript rendering and sites whose visible contacts are absent or obfuscated in raw HTML. Its schema extraction returns structured data and source text together. It does not establish that a contact belongs to a particular listing; the application must verify that relationship.</w:t>
      </w:r>
    </w:p>
    <w:p>
      <w:r>
        <w:t>Keep the orchestration in TypeScript for this version. A bounded sequence of searches, page reads, extraction and validation is easier to test directly. LangChain becomes useful if multiple model providers or tool-based recovery are needed. LangGraph becomes useful for queues, persisted checkpoints and human review that resumes a job. Neither is required to call Tavily or Firecrawl.</w:t>
      </w:r>
    </w:p>
    <w:p>
      <w:pPr>
        <w:pStyle w:val="Heading1"/>
      </w:pPr>
      <w:r>
        <w:t>What the live research established</w:t>
      </w:r>
    </w:p>
    <w:p>
      <w:r>
        <w:t>On REAL New York, Firecrawl exposed the Paul Morrissette and Luke Joyce contact data for 448 West 19th Street #3CD that raw HTML left obfuscated. On 245 Eldridge Street, it preserved a 1R heading and a conflicting 2R description. That conflict should block attribution instead of being silently normalized.</w:t>
      </w:r>
    </w:p>
    <w:p>
      <w:r>
        <w:t>Firecrawl rendered the Canvas rental catalog, but rendering the catalog alone did not establish the target unit or a direct agent email. The Essex and Glenwood examples exposed phone or form routes without establishing a general email fallback. A successful scrape therefore does not imply a successful enrichment.</w:t>
      </w:r>
    </w:p>
    <w:p>
      <w:r>
        <w:t>The observed pilot used Firecrawl search and extraction because no Tavily key was configured. Tavily was assessed through its official API documentation and tested with simulated responses; this research does not claim a measured Tavily accuracy advantage. Firecrawl keyless access worked for the small pilot, subject to daily request and credit caps.</w:t>
      </w:r>
    </w:p>
    <w:p>
      <w:r>
        <w:br w:type="page"/>
      </w:r>
    </w:p>
    <w:p>
      <w:pPr>
        <w:pStyle w:val="Heading1"/>
      </w:pPr>
      <w:r>
        <w:t>Final enrichment contract</w:t>
      </w:r>
    </w:p>
    <w:p>
      <w:r>
        <w:t>The service accepts the fields normally extracted from an alert email: address, unit, price, bedrooms, bathrooms, brokerage, brokerage office address and city. It can split a trailing #unit from the address. Invalid inputs fail before any provider request.</w:t>
      </w:r>
    </w:p>
    <w:p>
      <w:pPr>
        <w:pStyle w:val="ListNumber"/>
      </w:pPr>
      <w:r>
        <w:t>Discover and verify the brokerage website using its name and office street address.</w:t>
      </w:r>
    </w:p>
    <w:p>
      <w:pPr>
        <w:pStyle w:val="ListNumber"/>
      </w:pPr>
      <w:r>
        <w:t>Search that domain for the exact apartment and follow relevant rental catalog links.</w:t>
      </w:r>
    </w:p>
    <w:p>
      <w:pPr>
        <w:pStyle w:val="ListNumber"/>
      </w:pPr>
      <w:r>
        <w:t>Extract all explicitly attached agents from candidate detail pages. Check address, exact unit, brokerage, bed and bath count, rental status, contradictions and quoted source evidence. Report price differences separately.</w:t>
      </w:r>
    </w:p>
    <w:p>
      <w:pPr>
        <w:pStyle w:val="ListNumber"/>
      </w:pPr>
      <w:r>
        <w:t>Recover missing contacts only from explicitly linked agent profiles. Preserve separate listing attribution, email and phone source URLs.</w:t>
      </w:r>
    </w:p>
    <w:p>
      <w:pPr>
        <w:pStyle w:val="ListNumber"/>
      </w:pPr>
      <w:r>
        <w:t>If there is no verified listing, check a bounded set of official team members against exact-unit search results. Return those people only as candidates requiring review.</w:t>
      </w:r>
    </w:p>
    <w:p>
      <w:r>
        <w:t>source_matched means that the selected source supports the listing and its extracted agents. rosterCompleteness is source_only, because the software cannot prove that no other agents exist elsewhere. partial preserves supported agents when contact recovery or source checks remain incomplete. needs_review holds index-only candidates or conflicting source rosters. not_found and error remain explicit outcomes.</w:t>
      </w:r>
    </w:p>
    <w:p>
      <w:r>
        <w:t>outreachReady is true only for a completed source match with supported email addresses for every recovered agent and no unresolved contact or candidate-page failures. This flag is a quality gate; the service sends no messages. Indexed attribution always leaves it false.</w:t>
      </w:r>
    </w:p>
    <w:p>
      <w:pPr>
        <w:pStyle w:val="Heading1"/>
      </w:pPr>
      <w:r>
        <w:t>Operational bounds</w:t>
      </w:r>
    </w:p>
    <w:p>
      <w:r>
        <w:t>Defaults are 32 outbound API requests, up to three brokerage candidates, three catalog links, four listing pages and twelve directory agents. Each request has a 45-second timeout and at most one retry for transient failures. Requests and retries share the call budget. A quota or budget failure preserves contacts already found and marks the execution incomplete.</w:t>
      </w:r>
    </w:p>
    <w:p>
      <w:r>
        <w:t>Responses are cached for one hour, with an explicit refresh option. Failed target-page reads are not cached. Output includes a timestamp, source excerpts, provider attempts and reported credits when available. Credentials come from environment variables; result and cache files live under the ignored data directory.</w:t>
      </w:r>
    </w:p>
    <w:p>
      <w:r>
        <w:t>Coverage is bounded. The workflow does not scan every brokerage employee or every page, guarantee real-time availability, bypass portal access restrictions, or infer mailbox patterns. It is a callable service and CLI; wiring it into Gmail ingestion, persistence and a review interface is a separate integration step.</w:t>
      </w:r>
    </w:p>
    <w:p>
      <w:r>
        <w:br w:type="page"/>
      </w:r>
    </w:p>
    <w:p>
      <w:pPr>
        <w:pStyle w:val="Heading1"/>
      </w:pPr>
      <w:r>
        <w:t>Validation and operation</w:t>
      </w:r>
    </w:p>
    <w:p>
      <w:r>
        <w:t>The validation suite exercises unit transposition, missing source evidence, inactive listings, malformed extraction, unsupported contact details, co-agent preservation and deduplication. Workflow tests cover discovery, linked profiles, conflicting rosters, index-only candidates, quotas, request budgets, cache expiry, provider selection and retry behavior. These simulated cases test application logic; they are not a representative brokerage coverage benchmark.</w:t>
      </w:r>
    </w:p>
    <w:p>
      <w:r>
        <w:t>The live research run found the two R4 candidates shown on page 1. Live results can change as listings, search indexes and provider quotas change. A dated result should not be reused as proof of current availability.</w:t>
      </w:r>
    </w:p>
    <w:p>
      <w:r>
        <w:t>Run from the repository root:</w:t>
      </w:r>
    </w:p>
    <w:p>
      <w:r>
        <w:rPr>
          <w:rFonts w:ascii="Courier New" w:hAnsi="Courier New"/>
          <w:sz w:val="18"/>
        </w:rPr>
        <w:t>npm run enrich -- backend/fixtures/enrichment/118-mulberry-r4.json</w:t>
      </w:r>
    </w:p>
    <w:p>
      <w:r>
        <w:rPr>
          <w:rFonts w:ascii="Courier New" w:hAnsi="Courier New"/>
          <w:sz w:val="18"/>
        </w:rPr>
        <w:t>npm run test:enrichment -w backend</w:t>
      </w:r>
    </w:p>
    <w:p>
      <w:r>
        <w:rPr>
          <w:rFonts w:ascii="Courier New" w:hAnsi="Courier New"/>
          <w:sz w:val="18"/>
        </w:rPr>
        <w:t>npm run typecheck:enrichment -w backend</w:t>
      </w:r>
    </w:p>
    <w:p>
      <w:r>
        <w:t>Set TAVILY_API_KEY to select Tavily search and FIRECRAWL_API_KEY for authenticated Firecrawl capacity. Use --refresh for fresh provider responses, --max-calls N to change the request budget, --no-index-fallback to restrict the run to first-party listing discovery, and --output path to choose the result file.</w:t>
      </w:r>
    </w:p>
    <w:p>
      <w:pPr>
        <w:pStyle w:val="Heading1"/>
      </w:pPr>
      <w:r>
        <w:t>Cost and production evaluation</w:t>
      </w:r>
    </w:p>
    <w:p>
      <w:r>
        <w:t>Meter discovery, page reads and structured extraction separately. Provider credit units differ, and one API call can consume multiple credits. Keyless access is useful for a small test but is not a production capacity plan. Use the attempt log to estimate cost per completed listing and per recovered contact under the intended workload.</w:t>
      </w:r>
    </w:p>
    <w:p>
      <w:r>
        <w:t>Before broad rollout, evaluate a labeled sample across brokerages. Measure exact-unit precision, co-agent recall, direct-email precision, review rate, latency and cost. Include reused apartment identifiers, stale listings, multiple co-agents, managed buildings and contradictory pages. Add brokerage-specific adapters only where these results show a repeatable failure.</w:t>
      </w:r>
    </w:p>
    <w:p>
      <w:pPr>
        <w:pStyle w:val="Heading1"/>
      </w:pPr>
      <w:r>
        <w:t>Primary technical references</w:t>
      </w:r>
    </w:p>
    <w:p>
      <w:pPr>
        <w:spacing w:after="60"/>
      </w:pPr>
      <w:hyperlink r:id="rId12">
        <w:r>
          <w:rPr>
            <w:color w:val="174D70"/>
          </w:rPr>
          <w:t>Tavily Search API</w:t>
        </w:r>
      </w:hyperlink>
    </w:p>
    <w:p>
      <w:pPr>
        <w:spacing w:after="60"/>
      </w:pPr>
      <w:hyperlink r:id="rId13">
        <w:r>
          <w:rPr>
            <w:color w:val="174D70"/>
          </w:rPr>
          <w:t>Tavily API credits</w:t>
        </w:r>
      </w:hyperlink>
    </w:p>
    <w:p>
      <w:pPr>
        <w:spacing w:after="60"/>
      </w:pPr>
      <w:hyperlink r:id="rId14">
        <w:r>
          <w:rPr>
            <w:color w:val="174D70"/>
          </w:rPr>
          <w:t>Firecrawl Scrape API</w:t>
        </w:r>
      </w:hyperlink>
    </w:p>
    <w:p>
      <w:pPr>
        <w:spacing w:after="60"/>
      </w:pPr>
      <w:hyperlink r:id="rId15">
        <w:r>
          <w:rPr>
            <w:color w:val="174D70"/>
          </w:rPr>
          <w:t>Firecrawl Search API</w:t>
        </w:r>
      </w:hyperlink>
    </w:p>
    <w:p>
      <w:pPr>
        <w:spacing w:after="60"/>
      </w:pPr>
      <w:hyperlink r:id="rId16">
        <w:r>
          <w:rPr>
            <w:color w:val="174D70"/>
          </w:rPr>
          <w:t>Firecrawl keyless limits</w:t>
        </w:r>
      </w:hyperlink>
    </w:p>
    <w:p>
      <w:pPr>
        <w:spacing w:after="60"/>
      </w:pPr>
      <w:hyperlink r:id="rId17">
        <w:r>
          <w:rPr>
            <w:color w:val="174D70"/>
          </w:rPr>
          <w:t>LangChain structured output</w:t>
        </w:r>
      </w:hyperlink>
    </w:p>
    <w:p>
      <w:pPr>
        <w:spacing w:after="60"/>
      </w:pPr>
      <w:hyperlink r:id="rId18">
        <w:r>
          <w:rPr>
            <w:color w:val="174D70"/>
          </w:rPr>
          <w:t>LangGraph persistence</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llal.realtymx.com/?page=agents&amp;id=29" TargetMode="External"/><Relationship Id="rId10" Type="http://schemas.openxmlformats.org/officeDocument/2006/relationships/hyperlink" Target="https://dallal.realtymx.com/?page=agents&amp;id=1" TargetMode="External"/><Relationship Id="rId11" Type="http://schemas.openxmlformats.org/officeDocument/2006/relationships/hyperlink" Target="https://streeteasy.com/building/118-mulberry-street-new_york/r4" TargetMode="External"/><Relationship Id="rId12" Type="http://schemas.openxmlformats.org/officeDocument/2006/relationships/hyperlink" Target="https://docs.tavily.com/documentation/api-reference/endpoint/search" TargetMode="External"/><Relationship Id="rId13" Type="http://schemas.openxmlformats.org/officeDocument/2006/relationships/hyperlink" Target="https://docs.tavily.com/documentation/api-credits" TargetMode="External"/><Relationship Id="rId14" Type="http://schemas.openxmlformats.org/officeDocument/2006/relationships/hyperlink" Target="https://docs.firecrawl.dev/api-reference/endpoint/scrape" TargetMode="External"/><Relationship Id="rId15" Type="http://schemas.openxmlformats.org/officeDocument/2006/relationships/hyperlink" Target="https://docs.firecrawl.dev/api-reference/endpoint/search" TargetMode="External"/><Relationship Id="rId16" Type="http://schemas.openxmlformats.org/officeDocument/2006/relationships/hyperlink" Target="https://docs.firecrawl.dev/rate-limits#keyless-no-api-key" TargetMode="External"/><Relationship Id="rId17" Type="http://schemas.openxmlformats.org/officeDocument/2006/relationships/hyperlink" Target="https://docs.langchain.com/oss/javascript/langchain/models#structured-output" TargetMode="External"/><Relationship Id="rId18" Type="http://schemas.openxmlformats.org/officeDocument/2006/relationships/hyperlink" Target="https://docs.langchain.com/oss/javascript/langgraph/persist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enrichment findings and implementation</dc:title>
  <dc:subject>Scout broker enrichment research and implementation</dc:subject>
  <dc:creator>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