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# Projeto de Conclusão Análise de dados Grupo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Tema: Inteligência de Mercado Automotivo - Market Share e Evolução da Frota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Alunos: Diana, Douglas, Duda, Taynara, Thais e Will.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rs4np5koihv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 Problema de Negócio</w:t>
      </w:r>
    </w:p>
    <w:p w:rsidR="00000000" w:rsidDel="00000000" w:rsidP="00000000" w:rsidRDefault="00000000" w:rsidRPr="00000000" w14:paraId="0000000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setor automotivo brasileiro vive um momento de transformação histórica: a transição dos populares para os SUVs, a eletrificação da frota e a chegada agressiva de novas marcas asiáticas. As montadoras precisam de visibilidade total sobre o comportamento do mercado para guiar suas estratégias de vendas e produção. Seu desafio é estruturar um painel de inteligência competitiva que analise o histórico de emplacamentos por marca, modelo e categoria. O objetivo é cruzar essas vendas com o cenário econômico do país, entregando para a diretoria comercial um mapeamento claro de quem está ganhando e perdendo </w:t>
      </w:r>
    </w:p>
    <w:p w:rsidR="00000000" w:rsidDel="00000000" w:rsidP="00000000" w:rsidRDefault="00000000" w:rsidRPr="00000000" w14:paraId="00000007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Visão Geral do Projeto</w:t>
      </w:r>
    </w:p>
    <w:p w:rsidR="00000000" w:rsidDel="00000000" w:rsidP="00000000" w:rsidRDefault="00000000" w:rsidRPr="00000000" w14:paraId="0000000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solução de inteligência de negócios desenvolvida para analisar o mercado automotivo brasileiro e correlacionar o desempenho de vendas e faturamento com os principais indicadores macroeconômicos (especificamente a taxa Selic).</w:t>
      </w:r>
    </w:p>
    <w:p w:rsidR="00000000" w:rsidDel="00000000" w:rsidP="00000000" w:rsidRDefault="00000000" w:rsidRPr="00000000" w14:paraId="0000000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objetivo principal é transformar dados brutos de emplacamentos em insights estratégicos para montadoras, concessionárias e analistas de mercado, permitindo entender o comportamento do consumidor diante das flutuações econômicas ao longo dos anos (2020 a 2025).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22"/>
          <w:szCs w:val="22"/>
        </w:rPr>
      </w:pPr>
      <w:bookmarkStart w:colFirst="0" w:colLast="0" w:name="_2g75xkfib25k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Documentação do Projeto: Etapas de Desenvolvimento</w:t>
      </w:r>
    </w:p>
    <w:p w:rsidR="00000000" w:rsidDel="00000000" w:rsidP="00000000" w:rsidRDefault="00000000" w:rsidRPr="00000000" w14:paraId="0000000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documentação detalha o ciclo de vida do projeto, desde a concepção e organização da equipe até a entrega final, destacando as metodologias, ferramentas e estratégias utilizadas para garantir a eficiência e a qualidade do trabalho.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wplkxevcj7ri" w:id="2"/>
      <w:bookmarkEnd w:id="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Planejamento, Alinhamento e Gestão de Equipe</w:t>
      </w:r>
    </w:p>
    <w:p w:rsidR="00000000" w:rsidDel="00000000" w:rsidP="00000000" w:rsidRDefault="00000000" w:rsidRPr="00000000" w14:paraId="0000000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projeto iniciou-se com uma leitura coletiva do tema proposto para garantir o alinhamento de todos os integrantes. Na sequência, foi elaborado um cronograma estratégico de divisão de tarefas baseado em dois pilares fundamentais: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Aproveitamento de Competências:</w:t>
      </w:r>
      <w:r w:rsidDel="00000000" w:rsidR="00000000" w:rsidRPr="00000000">
        <w:rPr>
          <w:rtl w:val="0"/>
        </w:rPr>
        <w:t xml:space="preserve"> As atividades foram delegadas de acordo com as principais habilidades técnicas de cada membro.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Afinidade Pessoal:</w:t>
      </w:r>
      <w:r w:rsidDel="00000000" w:rsidR="00000000" w:rsidRPr="00000000">
        <w:rPr>
          <w:rtl w:val="0"/>
        </w:rPr>
        <w:t xml:space="preserve"> Respeitou-se a preferência individual por determinadas áreas do projeto.</w:t>
      </w:r>
    </w:p>
    <w:p w:rsidR="00000000" w:rsidDel="00000000" w:rsidP="00000000" w:rsidRDefault="00000000" w:rsidRPr="00000000" w14:paraId="00000010">
      <w:pPr>
        <w:spacing w:after="240" w:before="240" w:line="276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Essa abordagem otimizou a curva de aprendizado, reduziu a complexidade das tarefas e resultou em uma execução consideravelmente mais ágil e harmônica.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xttuzik5h3l0" w:id="3"/>
      <w:bookmarkEnd w:id="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Processo de ETL (Extração, Transformação e Carga)</w:t>
      </w:r>
    </w:p>
    <w:p w:rsidR="00000000" w:rsidDel="00000000" w:rsidP="00000000" w:rsidRDefault="00000000" w:rsidRPr="00000000" w14:paraId="0000001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Diante da escassez e da inconsistência de registros na base de dados sugerida inicialmente, a equipe adotou uma postura proativa para enriquecer o repositório do projeto: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(E):</w:t>
      </w:r>
      <w:r w:rsidDel="00000000" w:rsidR="00000000" w:rsidRPr="00000000">
        <w:rPr>
          <w:rtl w:val="0"/>
        </w:rPr>
        <w:t xml:space="preserve"> Buscamos fontes alternativas e complementares de dados. Fonte de dados: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Emplacamentos de veículos e marcas no Brasil - AUTOO</w:t>
        </w:r>
      </w:hyperlink>
      <w:r w:rsidDel="00000000" w:rsidR="00000000" w:rsidRPr="00000000">
        <w:rPr>
          <w:rtl w:val="0"/>
        </w:rPr>
        <w:t xml:space="preserve"> 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Para acelerar o processo de coleta, integramos ferramentas de Inteligência Artificial, otimizando drasticamente o tempo de captura das informações.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e Transformação (T):</w:t>
      </w:r>
      <w:r w:rsidDel="00000000" w:rsidR="00000000" w:rsidRPr="00000000">
        <w:rPr>
          <w:rtl w:val="0"/>
        </w:rPr>
        <w:t xml:space="preserve"> A limpeza, padronização e consolidação dos dados coletados foram realizadas de forma híbrida, utilizando fórmulas avançadas no </w:t>
      </w:r>
      <w:r w:rsidDel="00000000" w:rsidR="00000000" w:rsidRPr="00000000">
        <w:rPr>
          <w:b w:val="1"/>
          <w:bCs w:val="1"/>
          <w:rtl w:val="0"/>
        </w:rPr>
        <w:t xml:space="preserve">Microsoft Excel</w:t>
      </w:r>
      <w:r w:rsidDel="00000000" w:rsidR="00000000" w:rsidRPr="00000000">
        <w:rPr>
          <w:rtl w:val="0"/>
        </w:rPr>
        <w:t xml:space="preserve"> e consultas estruturadas no </w:t>
      </w:r>
      <w:r w:rsidDel="00000000" w:rsidR="00000000" w:rsidRPr="00000000">
        <w:rPr>
          <w:b w:val="1"/>
          <w:bCs w:val="1"/>
          <w:rtl w:val="0"/>
        </w:rPr>
        <w:t xml:space="preserve">Google BigQuery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b7miwfsbneyg" w:id="4"/>
      <w:bookmarkEnd w:id="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Desenvolvimento de Dashboards (Visualização de Dados)</w:t>
      </w:r>
    </w:p>
    <w:p w:rsidR="00000000" w:rsidDel="00000000" w:rsidP="00000000" w:rsidRDefault="00000000" w:rsidRPr="00000000" w14:paraId="0000001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 a base de dados consolidada, iniciamos a construção dos painéis visuais utilizando o </w:t>
      </w:r>
      <w:r w:rsidDel="00000000" w:rsidR="00000000" w:rsidRPr="00000000">
        <w:rPr>
          <w:b w:val="1"/>
          <w:bCs w:val="1"/>
          <w:rtl w:val="0"/>
        </w:rPr>
        <w:t xml:space="preserve">Power BI</w:t>
      </w:r>
      <w:r w:rsidDel="00000000" w:rsidR="00000000" w:rsidRPr="00000000">
        <w:rPr>
          <w:rtl w:val="0"/>
        </w:rPr>
        <w:t xml:space="preserve">, realizando o cruzamento de múltiplos bancos de dados e tabelas.</w:t>
      </w:r>
    </w:p>
    <w:p w:rsidR="00000000" w:rsidDel="00000000" w:rsidP="00000000" w:rsidRDefault="00000000" w:rsidRPr="00000000" w14:paraId="0000001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Para garantir a qualidade da entrega, a equipe realizou uma análise minuciosa conjunta guiada pelo princípio da </w:t>
      </w:r>
      <w:r w:rsidDel="00000000" w:rsidR="00000000" w:rsidRPr="00000000">
        <w:rPr>
          <w:b w:val="1"/>
          <w:bCs w:val="1"/>
          <w:rtl w:val="0"/>
        </w:rPr>
        <w:t xml:space="preserve">clareza analítica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poluição visual:</w:t>
      </w:r>
      <w:r w:rsidDel="00000000" w:rsidR="00000000" w:rsidRPr="00000000">
        <w:rPr>
          <w:rtl w:val="0"/>
        </w:rPr>
        <w:t xml:space="preserve"> Filtragem rigorosa para que o excesso de dados não sobrecarregasse o leitor.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Escassez de Dados:</w:t>
      </w:r>
      <w:r w:rsidDel="00000000" w:rsidR="00000000" w:rsidRPr="00000000">
        <w:rPr>
          <w:rtl w:val="0"/>
        </w:rPr>
        <w:t xml:space="preserve"> Garantia de que as métricas essenciais estivessem presentes para gerar insights de valor.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4ij01g8wext7" w:id="5"/>
      <w:bookmarkEnd w:id="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Desenvolvimento da Aplicação</w:t>
      </w:r>
    </w:p>
    <w:p w:rsidR="00000000" w:rsidDel="00000000" w:rsidP="00000000" w:rsidRDefault="00000000" w:rsidRPr="00000000" w14:paraId="0000001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Como solução prática do projeto, desenvolvemos uma plataforma online voltada para o consumidor final. O desenvolvimento do código foi acelerado e otimizado com o suporte de Inteligência Artificial.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Funcionalidade:</w:t>
      </w:r>
      <w:r w:rsidDel="00000000" w:rsidR="00000000" w:rsidRPr="00000000">
        <w:rPr>
          <w:rtl w:val="0"/>
        </w:rPr>
        <w:t xml:space="preserve"> A aplicação permite a comparação direta de diversos veículos em um único lugar, aplicando filtros por marca, modelo e categoria.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Valor Agregado:</w:t>
      </w:r>
      <w:r w:rsidDel="00000000" w:rsidR="00000000" w:rsidRPr="00000000">
        <w:rPr>
          <w:rtl w:val="0"/>
        </w:rPr>
        <w:t xml:space="preserve"> Auxilia o usuário a realizar uma compra consciente, centralizando informações que antes exigiriam buscas em múltiplos sites. Tudo isso aliado a uma interface de usuário (UI) moderna e atraente.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pm1zqpnq69uv" w:id="6"/>
      <w:bookmarkEnd w:id="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Storytelling e Apresentação dos Resultados</w:t>
      </w:r>
    </w:p>
    <w:p w:rsidR="00000000" w:rsidDel="00000000" w:rsidP="00000000" w:rsidRDefault="00000000" w:rsidRPr="00000000" w14:paraId="0000002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Na fase final, a equipe reuniu-se para estruturar a narrativa do projeto. O objetivo foi converter os dados técnicos em uma história fluida, linear e coesa: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Eliminação de ruídos e detalhes técnicos redundantes.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Inclusão de ganchos lógicos para garantir uma estrutura clara com </w:t>
      </w:r>
      <w:r w:rsidDel="00000000" w:rsidR="00000000" w:rsidRPr="00000000">
        <w:rPr>
          <w:b w:val="1"/>
          <w:bCs w:val="1"/>
          <w:rtl w:val="0"/>
        </w:rPr>
        <w:t xml:space="preserve">início, meio e fim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5du06kywffi5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Revisão Geral e Garantia de Qualidade (QA)</w:t>
      </w:r>
    </w:p>
    <w:p w:rsidR="00000000" w:rsidDel="00000000" w:rsidP="00000000" w:rsidRDefault="00000000" w:rsidRPr="00000000" w14:paraId="0000002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Por fim, realizamos um processo de auditoria coletiva. Todo o grupo revisou o projeto de ponta a ponta, inspecionando códigos, dashboards, documentação e a aplicação para identificar e corrigir possíveis lacunas, erros de lógica ou inconsistências antes da entrega definitiva.</w:t>
      </w:r>
    </w:p>
    <w:p w:rsidR="00000000" w:rsidDel="00000000" w:rsidP="00000000" w:rsidRDefault="00000000" w:rsidRPr="00000000" w14:paraId="00000025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Arquitetura e Estrutura do Dashboard</w:t>
      </w:r>
    </w:p>
    <w:p w:rsidR="00000000" w:rsidDel="00000000" w:rsidP="00000000" w:rsidRDefault="00000000" w:rsidRPr="00000000" w14:paraId="0000002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Visão Geral do Projeto </w:t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ferramenta de inteligência de mercado projetada para analisar o comportamento do setor automotivo brasileiro no período de 2020 a 2025. O principal diferencial do relatório é o cruzamento de métricas internas de vendas (volume de emplacamentos, faturamento e market share por marca/modelo) com variáveis macroeconômicas (evolução da Taxa Selic), permitindo identificar padrões de consumo e a resiliência do mercado diante de políticas monetárias restritivas.</w:t>
      </w:r>
    </w:p>
    <w:p w:rsidR="00000000" w:rsidDel="00000000" w:rsidP="00000000" w:rsidRDefault="00000000" w:rsidRPr="00000000" w14:paraId="00000028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Arquitetura e Estrutura das Páginas</w:t>
      </w:r>
    </w:p>
    <w:p w:rsidR="00000000" w:rsidDel="00000000" w:rsidP="00000000" w:rsidRDefault="00000000" w:rsidRPr="00000000" w14:paraId="0000002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relatório está dividido em duas visões complementares (telas), otimizadas para leitura do nível estratégico ao tático.</w:t>
      </w:r>
    </w:p>
    <w:p w:rsidR="00000000" w:rsidDel="00000000" w:rsidP="00000000" w:rsidRDefault="00000000" w:rsidRPr="00000000" w14:paraId="0000002A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1: Indicadores Macroeconômicos e Market Share - Visão Executiva</w:t>
      </w:r>
    </w:p>
    <w:p w:rsidR="00000000" w:rsidDel="00000000" w:rsidP="00000000" w:rsidRDefault="00000000" w:rsidRPr="00000000" w14:paraId="0000002B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tela contextualiza o desempenho financeiro e de volume contra o cenário macroeconômico global do período.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Cards de Indicadores Chave (KPIs Superiores):</w:t>
      </w:r>
    </w:p>
    <w:p w:rsidR="00000000" w:rsidDel="00000000" w:rsidP="00000000" w:rsidRDefault="00000000" w:rsidRPr="00000000" w14:paraId="0000002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Faturamento Médio (R$ 1,45 Tri): Receita total estimada movimentada pelo setor de novos emplacamentos ao longo do período histórico monitorado.</w:t>
      </w:r>
    </w:p>
    <w:p w:rsidR="00000000" w:rsidDel="00000000" w:rsidP="00000000" w:rsidRDefault="00000000" w:rsidRPr="00000000" w14:paraId="0000003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Unidades Vendidas (11,7 Mi): Volume consolidado de veículos emplacados.</w:t>
      </w:r>
    </w:p>
    <w:p w:rsidR="00000000" w:rsidDel="00000000" w:rsidP="00000000" w:rsidRDefault="00000000" w:rsidRPr="00000000" w14:paraId="0000003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Ticket Médio (R$ 123,4 Mil): Valor médio gasto por veículo comercializado no país.</w:t>
      </w:r>
    </w:p>
    <w:p w:rsidR="00000000" w:rsidDel="00000000" w:rsidP="00000000" w:rsidRDefault="00000000" w:rsidRPr="00000000" w14:paraId="0000003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Média da Selic (9,72%): Média ponderada da taxa básica de juros da economia no intervalo de anos coberto.</w:t>
      </w:r>
    </w:p>
    <w:p w:rsidR="00000000" w:rsidDel="00000000" w:rsidP="00000000" w:rsidRDefault="00000000" w:rsidRPr="00000000" w14:paraId="0000003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3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Impacto dos Juros (Selic) na Intenção de Compra de Veículos: Gráfico combinado (Barras + Linha). Apresenta a evolução anual do faturamento (barras azuis) e a taxa de juros Selic média por ano (linha azul escura). Mostra o faturamento subindo de R$ 186,3 Bi em 2020 para R$ 290,2 Bi em 2025, apesar da escalada da Selic de 2,81% para 13,96%.</w:t>
      </w:r>
    </w:p>
    <w:p w:rsidR="00000000" w:rsidDel="00000000" w:rsidP="00000000" w:rsidRDefault="00000000" w:rsidRPr="00000000" w14:paraId="0000003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Participação de Mercado (Market Share): Gráfico de Treemap estruturado por faturamento de marcas. Evidencia a liderança do ecossistema das seguintes montadoras:</w:t>
      </w:r>
    </w:p>
    <w:p w:rsidR="00000000" w:rsidDel="00000000" w:rsidP="00000000" w:rsidRDefault="00000000" w:rsidRPr="00000000" w14:paraId="000000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Fiat: R$ 281 Bi</w:t>
      </w:r>
    </w:p>
    <w:p w:rsidR="00000000" w:rsidDel="00000000" w:rsidP="00000000" w:rsidRDefault="00000000" w:rsidRPr="00000000" w14:paraId="0000003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Volkswagen: R$ 215 Bi</w:t>
      </w:r>
    </w:p>
    <w:p w:rsidR="00000000" w:rsidDel="00000000" w:rsidP="00000000" w:rsidRDefault="00000000" w:rsidRPr="00000000" w14:paraId="0000003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Chevrolet: R$ 209 Bi</w:t>
      </w:r>
    </w:p>
    <w:p w:rsidR="00000000" w:rsidDel="00000000" w:rsidP="00000000" w:rsidRDefault="00000000" w:rsidRPr="00000000" w14:paraId="0000003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Toyota: R$ 194 Bi</w:t>
      </w:r>
    </w:p>
    <w:p w:rsidR="00000000" w:rsidDel="00000000" w:rsidP="00000000" w:rsidRDefault="00000000" w:rsidRPr="00000000" w14:paraId="0000003A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Concentração de Vendas (Desempenho por Modelo): Gráfico de Dispersão (Bubble Chart) que cruza o preço médio de tabela FIPE (Eixo X) com o volume absoluto de unidades vendidas (Eixo Y), mapeando a densidade de modelos no mercado e destacando outliers de grande volume ou preço elevado.</w:t>
      </w:r>
    </w:p>
    <w:p w:rsidR="00000000" w:rsidDel="00000000" w:rsidP="00000000" w:rsidRDefault="00000000" w:rsidRPr="00000000" w14:paraId="0000003B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2: Desempenho por Modelo e Filtros de Negócio - Performance de produtos</w:t>
      </w:r>
    </w:p>
    <w:p w:rsidR="00000000" w:rsidDel="00000000" w:rsidP="00000000" w:rsidRDefault="00000000" w:rsidRPr="00000000" w14:paraId="0000003C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51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página provê visões analíticas específicas por modelo de veículo e permite interações temporais diretas.</w:t>
      </w:r>
    </w:p>
    <w:p w:rsidR="00000000" w:rsidDel="00000000" w:rsidP="00000000" w:rsidRDefault="00000000" w:rsidRPr="00000000" w14:paraId="0000003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de Controle Interativo:</w:t>
      </w:r>
    </w:p>
    <w:p w:rsidR="00000000" w:rsidDel="00000000" w:rsidP="00000000" w:rsidRDefault="00000000" w:rsidRPr="00000000" w14:paraId="0000004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Segmentação de Ano (Slicer Superior): Filtros em botões para seleção de anos individuais (2020, 2021, 2022, 2023, 2024, 2025) para recalcular dinamicamente os rankings e insights.</w:t>
      </w:r>
    </w:p>
    <w:p w:rsidR="00000000" w:rsidDel="00000000" w:rsidP="00000000" w:rsidRDefault="00000000" w:rsidRPr="00000000" w14:paraId="0000004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4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Líderes de Vendas (Unidades Emplacadas por Veículo): Gráfico de barras horizontais indicando o top 5 de volume de emplacamentos.</w:t>
      </w:r>
    </w:p>
    <w:p w:rsidR="00000000" w:rsidDel="00000000" w:rsidP="00000000" w:rsidRDefault="00000000" w:rsidRPr="00000000" w14:paraId="0000004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 isolado: Fiat Strada (709,8 Mil unidades), seguido por Chevrolet Onix (573,7 Mil), Hyundai HB20 (540,2 Mil), Fiat Argo (475,1 Mil) e Volkswagen T-Cross (436,9 Mil).</w:t>
      </w:r>
    </w:p>
    <w:p w:rsidR="00000000" w:rsidDel="00000000" w:rsidP="00000000" w:rsidRDefault="00000000" w:rsidRPr="00000000" w14:paraId="0000004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Geração de Receita por Modelo de Veículo: Gráfico de barras horizontais focado no retorno financeiro gerado. Revela uma mudança de comportamento: embora a Fiat Strada lidere também em faturamento (R$ 78 Bi), modelos comerciais e SUVs mais caros, como a Toyota Hilux (R$ 71 Bi) e o Jeep Compass (R$ 66 Bi), sobem posições cruciais devido ao alto valor agregado do ticket.</w:t>
      </w:r>
    </w:p>
    <w:p w:rsidR="00000000" w:rsidDel="00000000" w:rsidP="00000000" w:rsidRDefault="00000000" w:rsidRPr="00000000" w14:paraId="0000004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Desempenho Financeiro por Segmento de Mercado: Área dedicada para análise da evolução percentual das categorias (ex: Hatch, Sedan, SUV, Picape).</w:t>
      </w:r>
    </w:p>
    <w:p w:rsidR="00000000" w:rsidDel="00000000" w:rsidP="00000000" w:rsidRDefault="00000000" w:rsidRPr="00000000" w14:paraId="0000004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Inteligência de Negócio &amp; Insights Extraídos</w:t>
      </w:r>
    </w:p>
    <w:p w:rsidR="00000000" w:rsidDel="00000000" w:rsidP="00000000" w:rsidRDefault="00000000" w:rsidRPr="00000000" w14:paraId="0000004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inclui uma seção automatizada de Storytelling/Insights de negócios na segunda tela, sintetizando as seguintes descobertas:</w:t>
      </w:r>
    </w:p>
    <w:p w:rsidR="00000000" w:rsidDel="00000000" w:rsidP="00000000" w:rsidRDefault="00000000" w:rsidRPr="00000000" w14:paraId="0000004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Premiumização e Mudança de Categoria: Entre 2020 e 2025, os segmentos tradicionais de entrada (como Hatch e Sedan) sofreram forte compressão de mercado. Em contrapartida, as categorias de SUVs e Picapes expandiram agressivamente. Conclui-se que o consumidor brasileiro migrou o perfil de compra para veículos de maior valor de tabela.</w:t>
      </w:r>
    </w:p>
    <w:p w:rsidR="00000000" w:rsidDel="00000000" w:rsidP="00000000" w:rsidRDefault="00000000" w:rsidRPr="00000000" w14:paraId="0000004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A Força do Consumidor de Alta Renda: O mercado demonstrou um comportamento contra-cíclico. Mesmo com a taxa Selic saltando de 2,81% em 2020 para 13,96% em 2025, o faturamento estimado cresceu continuamente. Isso comprova que as vendas tornaram-se altamente dependentes do público de alta renda, cuja decisão de compra é menos sensível a taxas de juros de financiamentos populares e bancários.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Entre 2020 e 2025, as fatias de carros tradicionais (como Hatch e Sedan) ficaram espremidas, enquanto o segmento de SUVs (em roxo) e Picapes explodiu. O consumidor brasileiro passou a comprar carros mais caros.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Mesmo com a Selic saltando de </w:t>
      </w:r>
      <w:r w:rsidDel="00000000" w:rsidR="00000000" w:rsidRPr="00000000">
        <w:rPr>
          <w:b w:val="1"/>
          <w:bCs w:val="1"/>
          <w:rtl w:val="0"/>
        </w:rPr>
        <w:t xml:space="preserve">2,81%</w:t>
      </w:r>
      <w:r w:rsidDel="00000000" w:rsidR="00000000" w:rsidRPr="00000000">
        <w:rPr>
          <w:rtl w:val="0"/>
        </w:rPr>
        <w:t xml:space="preserve"> em 2020 para </w:t>
      </w:r>
      <w:r w:rsidDel="00000000" w:rsidR="00000000" w:rsidRPr="00000000">
        <w:rPr>
          <w:b w:val="1"/>
          <w:bCs w:val="1"/>
          <w:rtl w:val="0"/>
        </w:rPr>
        <w:t xml:space="preserve">13,96%</w:t>
      </w:r>
      <w:r w:rsidDel="00000000" w:rsidR="00000000" w:rsidRPr="00000000">
        <w:rPr>
          <w:rtl w:val="0"/>
        </w:rPr>
        <w:t xml:space="preserve"> em 2025, o faturamento estimado cresceu continuamente. Isso indica que: O mercado tornou-se mais dependente de compradores de alta renda (que compram SUVs/Picapes e dependem menos de financiamento bancário comum).</w:t>
      </w:r>
    </w:p>
    <w:p w:rsidR="00000000" w:rsidDel="00000000" w:rsidP="00000000" w:rsidRDefault="00000000" w:rsidRPr="00000000" w14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Três marcas (</w:t>
      </w:r>
      <w:r w:rsidDel="00000000" w:rsidR="00000000" w:rsidRPr="00000000">
        <w:rPr>
          <w:b w:val="1"/>
          <w:bCs w:val="1"/>
          <w:rtl w:val="0"/>
        </w:rPr>
        <w:t xml:space="preserve">Fiat</w:t>
      </w:r>
      <w:r w:rsidDel="00000000" w:rsidR="00000000" w:rsidRPr="00000000">
        <w:rPr>
          <w:rtl w:val="0"/>
        </w:rPr>
        <w:t xml:space="preserve"> com 281 Bi, </w:t>
      </w:r>
      <w:r w:rsidDel="00000000" w:rsidR="00000000" w:rsidRPr="00000000">
        <w:rPr>
          <w:b w:val="1"/>
          <w:bCs w:val="1"/>
          <w:rtl w:val="0"/>
        </w:rPr>
        <w:t xml:space="preserve">Volkswagen</w:t>
      </w:r>
      <w:r w:rsidDel="00000000" w:rsidR="00000000" w:rsidRPr="00000000">
        <w:rPr>
          <w:rtl w:val="0"/>
        </w:rPr>
        <w:t xml:space="preserve"> com 215 Bi e </w:t>
      </w:r>
      <w:r w:rsidDel="00000000" w:rsidR="00000000" w:rsidRPr="00000000">
        <w:rPr>
          <w:b w:val="1"/>
          <w:bCs w:val="1"/>
          <w:rtl w:val="0"/>
        </w:rPr>
        <w:t xml:space="preserve">Chevrolet</w:t>
      </w:r>
      <w:r w:rsidDel="00000000" w:rsidR="00000000" w:rsidRPr="00000000">
        <w:rPr>
          <w:rtl w:val="0"/>
        </w:rPr>
        <w:t xml:space="preserve"> com 209 Bi) dominam a maior parte do bolo financeiro dos emplacamentos. Elas conseguem equilibrar um portfólio que transita entre o carro de entrada (volume) e SUVs comerciais (margem).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  <w:t xml:space="preserve">Taxa Selic não influencia tanto nas vendas de Luxo. Foi analisado que quanto maior a taxa Selic maior a queda de vendas populares enquanto categorias de maior valor agregado, como SUVs e Picapes, mantêm-se estáveis ou crescem gradativamente.</w:t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Aplicação Web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AUTOCOMPARA — Compare. Decida. Dirija.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AUTOCOMPARA</w:t>
      </w:r>
      <w:r w:rsidDel="00000000" w:rsidR="00000000" w:rsidRPr="00000000">
        <w:rPr>
          <w:rtl w:val="0"/>
        </w:rPr>
        <w:t xml:space="preserve"> é uma plataforma digital inteligente voltada ao consumidor final e a analistas de mercado, projetada para simplificar a jornada de escolha e compra de automóveis. A aplicação resolve a dor da fragmentação de informações no setor automotivo, centralizando especificações técnicas, preços (tabela FIPE), dados de mercado e histórico de vendas em um único ambiente comparativo e altamente visual.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33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O site utiliza uma planilha online como fonte de dados. Assim, quando uma informação é atualizada, ela aparece automaticamente no sistema, garantindo que os usuários consultem dados mais recentes e confiáveis.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Comparação inteligente dos veículos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Ao selecionar os carros desejados, o sistema analisa diversos fatores importantes, como preço, consumo de combustível, custos de manutenção, segurança, espaço interno e valorização no mercado.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Com base nesses critérios, cada veículo recebe uma pontuação que ajuda o usuário a identificar qual opção oferece o melhor custo-benefício dentro da comparação realizada.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 por categoria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Para facilitar a navegação, os veículos são organizados por categorias, como Hatch, SUV, Sedan, Picape, Minivan e Furgão.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Isso permite que o usuário encontre mais rapidamente os modelos que atendem às suas necessidades, sem perder as opções que já havia selecionado anteriormente.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Apresentação da equipe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A plataforma também conta com uma área dedicada aos integrantes do projeto. Ao clicar na foto de um membro da equipe, o visitante pode acessar diretamente seu perfil profissional no LinkedIn e conhecer mais sobre sua trajetória.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Experiência moderna e agradável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O AUTOCOMPARA foi desenvolvido com foco na experiência do usuário, oferecendo uma interface moderna, organizada e fácil de usar em computadores, tablets e celulares.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lyhkahihday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5kp09knqvx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s34m5tx6u4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p26trd4ym91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ieaucxj8zde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8jau6cli54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7xs1u3l0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sd29ln9neeg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nk9srytkyyt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w5mxo5v51oc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yy6xvd03zp5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c09dsrb2k7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bi9vyq9w1wk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k71qeccf6v8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ezvek4i5og9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ie7j224106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9" Type="http://schemas.openxmlformats.org/officeDocument/2006/relationships/hyperlink" Target="https://auto-compara-fqyb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autoo.com.br/emplacamentos/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