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 Projeto de Conclusão Análise de dados Grupo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Tema: Inteligência de Mercado Automotivo - Market Share e Evolução da Frota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Alunos: Diana, Douglas, Duda, Taynara, Thais e Will.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s4np5koihv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 Problema de Negócio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setor automotivo brasileiro vive um momento de transformação histórica: a transição dos populares para os SUVs, a eletrificação da frota e a chegada agressiva de novas marcas asiáticas. As montadoras precisam de visibilidade total sobre o comportamento do mercado para guiar suas estratégias de vendas e produção. Seu desafio é estruturar um painel de inteligência competitiva que analise o histórico de emplacamentos por marca, modelo e categoria. O objetivo é cruzar essas vendas com o cenário econômico do país, entregando para a diretoria comercial um mapeamento claro de quem está ganhando e perdendo 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Visão Geral do Projeto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Dashboard Emplacamentos de Veículos e Impactos Econômicos é uma solução de inteligência de negócios desenvolvida para analisar o mercado automotivo brasileiro e correlacionar o desempenho de vendas e faturamento com os principais indicadores macroeconômicos (especificamente a taxa Selic).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objetivo principal é transformar dados brutos de emplacamentos em insights estratégicos para montadoras, concessionárias e analistas de mercado, permitindo entender o comportamento do consumidor diante das flutuações econômicas ao longo dos anos (2020 a 2025).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2g75xkfib25k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Documentação do Projeto: Etapas de Desenvolvimento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 documentação detalha o ciclo de vida do projeto, desde a concepção e organização da equipe até a entrega final, destacando as metodologias, ferramentas e estratégias utilizadas para garantir a eficiência e a qualidade do trabalho.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wplkxevcj7ri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Planejamento, Alinhamento e Gestão de Equipe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projeto iniciou-se com uma leitura coletiva do tema proposto para garantir o alinhamento de todos os integrantes. Na sequência, foi elaborado um cronograma estratégico de divisão de tarefas baseado em dois pilares fundamentais: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Aproveitamento de Competências:</w:t>
      </w:r>
      <w:r w:rsidDel="00000000" w:rsidR="00000000" w:rsidRPr="00000000">
        <w:rPr>
          <w:rtl w:val="0"/>
        </w:rPr>
        <w:t xml:space="preserve"> As atividades foram delegadas de acordo com as principais habilidades técnicas de cada membro.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Afinidade Pessoal:</w:t>
      </w:r>
      <w:r w:rsidDel="00000000" w:rsidR="00000000" w:rsidRPr="00000000">
        <w:rPr>
          <w:rtl w:val="0"/>
        </w:rPr>
        <w:t xml:space="preserve"> Respeitou-se a preferência individual por determinadas áreas do projeto.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Essa abordagem otimizou a curva de aprendizado, reduziu a complexidade das tarefas e resultou em uma execução consideravelmente mais ágil e harmônica.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xttuzik5h3l0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Processo de ETL (Extração, Transformação e Carga)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Diante da escassez e da inconsistência de registros na base de dados sugerida inicialmente, a equipe adotou uma postura proativa para enriquecer o repositório do projeto: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Extração (E):</w:t>
      </w:r>
      <w:r w:rsidDel="00000000" w:rsidR="00000000" w:rsidRPr="00000000">
        <w:rPr>
          <w:rtl w:val="0"/>
        </w:rPr>
        <w:t xml:space="preserve"> Buscamos fontes alternativas e complementares de dados. Para acelerar o processo de coleta, integramos ferramentas de Inteligência Artificial, otimizando drasticamente o tempo de captura das informações.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Tratamento e Transformação (T):</w:t>
      </w:r>
      <w:r w:rsidDel="00000000" w:rsidR="00000000" w:rsidRPr="00000000">
        <w:rPr>
          <w:rtl w:val="0"/>
        </w:rPr>
        <w:t xml:space="preserve"> A limpeza, padronização e consolidação dos dados coletados foram realizadas de forma híbrida, utilizando fórmulas avançadas no </w:t>
      </w:r>
      <w:r w:rsidDel="00000000" w:rsidR="00000000" w:rsidRPr="00000000">
        <w:rPr>
          <w:b w:val="1"/>
          <w:bCs w:val="1"/>
          <w:rtl w:val="0"/>
        </w:rPr>
        <w:t xml:space="preserve">Microsoft Excel</w:t>
      </w:r>
      <w:r w:rsidDel="00000000" w:rsidR="00000000" w:rsidRPr="00000000">
        <w:rPr>
          <w:rtl w:val="0"/>
        </w:rPr>
        <w:t xml:space="preserve"> e consultas estruturadas no </w:t>
      </w:r>
      <w:r w:rsidDel="00000000" w:rsidR="00000000" w:rsidRPr="00000000">
        <w:rPr>
          <w:b w:val="1"/>
          <w:bCs w:val="1"/>
          <w:rtl w:val="0"/>
        </w:rPr>
        <w:t xml:space="preserve">Google BigQuery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b7miwfsbneyg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Desenvolvimento de Dashboards (Visualização de Dados)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 a base de dados consolidada, iniciamos a construção dos painéis visuais utilizando o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, realizando o cruzamento de múltiplos bancos de dados e tabelas.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Para garantir a qualidade da entrega, a equipe realizou uma análise minuciosa conjunta guiada pelo princípio da </w:t>
      </w:r>
      <w:r w:rsidDel="00000000" w:rsidR="00000000" w:rsidRPr="00000000">
        <w:rPr>
          <w:b w:val="1"/>
          <w:bCs w:val="1"/>
          <w:rtl w:val="0"/>
        </w:rPr>
        <w:t xml:space="preserve">clareza analítica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Evitar a poluição visual:</w:t>
      </w:r>
      <w:r w:rsidDel="00000000" w:rsidR="00000000" w:rsidRPr="00000000">
        <w:rPr>
          <w:rtl w:val="0"/>
        </w:rPr>
        <w:t xml:space="preserve"> Filtragem rigorosa para que o excesso de dados não sobrecarregasse o leitor.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Evitar a Escassez de Dados:</w:t>
      </w:r>
      <w:r w:rsidDel="00000000" w:rsidR="00000000" w:rsidRPr="00000000">
        <w:rPr>
          <w:rtl w:val="0"/>
        </w:rPr>
        <w:t xml:space="preserve"> Garantia de que as métricas essenciais estivessem presentes para gerar insights de valor.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4ij01g8wext7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Desenvolvimento da Aplicação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Como solução prática do projeto, desenvolvemos uma plataforma online voltada para o consumidor final. O desenvolvimento do código foi acelerado e otimizado com o suporte de Inteligência Artificial.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A aplicação permite a comparação direta de diversos veículos em um único lugar, aplicando filtros por marca, modelo e categoria.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Valor Agregado:</w:t>
      </w:r>
      <w:r w:rsidDel="00000000" w:rsidR="00000000" w:rsidRPr="00000000">
        <w:rPr>
          <w:rtl w:val="0"/>
        </w:rPr>
        <w:t xml:space="preserve"> Auxilia o usuário a realizar uma compra consciente, centralizando informações que antes exigiriam buscas em múltiplos sites. Tudo isso aliado a uma interface de usuário (UI) moderna e atraente.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pm1zqpnq69uv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Storytelling e Apresentação dos Resultados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Na fase final, a equipe reuniu-se para estruturar a narrativa do projeto. O objetivo foi converter os dados técnicos em uma história fluida, linear e coesa: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Eliminação de ruídos e detalhes técnicos redundantes.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Inclusão de ganchos lógicos para garantir uma estrutura clara com </w:t>
      </w:r>
      <w:r w:rsidDel="00000000" w:rsidR="00000000" w:rsidRPr="00000000">
        <w:rPr>
          <w:b w:val="1"/>
          <w:bCs w:val="1"/>
          <w:rtl w:val="0"/>
        </w:rPr>
        <w:t xml:space="preserve">início, meio e fim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5du06kywffi5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Revisão Geral e Garantia de Qualidade (QA)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 fim, realizamos um processo de auditoria coletiva. Todo o grupo revisou o projeto de ponta a ponta, inspecionando códigos, dashboards, documentação e a aplicação para identificar e corrigir possíveis lacunas, erros de lógica ou inconsistências antes da entrega definitiva.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e Estrutura do Dashboard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1. Visão Geral do Projeto </w:t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Dashboard Emplacamentos de Veículos e Impactos Econômicos é uma ferramenta de inteligência de mercado projetada para analisar o comportamento do setor automotivo brasileiro no período de 2020 a 2025. O principal diferencial do relatório é o cruzamento de métricas internas de vendas (volume de emplacamentos, faturamento e market share por marca/modelo) com variáveis macroeconômicas (evolução da Taxa Selic), permitindo identificar padrões de consumo e a resiliência do mercado diante de políticas monetárias restritivas.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2. Arquitetura e Estrutura das Páginas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relatório está dividido em duas visões complementares (telas), otimizadas para leitura do nível estratégico ao tático.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 1: Indicadores Macroeconômicos e Market Share - Visão Executiva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 tela contextualiza o desempenho financeiro e de volume contra o cenário macroeconômico global do período.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Cards de Indicadores Chave (KPIs Superiores):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Faturamento Médio (R$ 1,45 Tri): Receita total estimada movimentada pelo setor de novos emplacamentos ao longo do período histórico monitorado.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Unidades Vendidas (11,7 Mi): Volume consolidado de veículos emplacados.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Ticket Médio (R$ 123,4 Mil): Valor médio gasto por veículo comercializado no país.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Média da Selic (9,72%): Média ponderada da taxa básica de juros da economia no intervalo de anos coberto.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Componentes Visuais (Gráficos):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Impacto dos Juros (Selic) na Intenção de Compra de Veículos: Gráfico combinado (Barras + Linha). Apresenta a evolução anual do faturamento (barras azuis) e a taxa de juros Selic média por ano (linha azul escura). Mostra o faturamento subindo de R$ 186,3 Bi em 2020 para R$ 290,2 Bi em 2025, apesar da escalada da Selic de 2,81% para 13,96%.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Participação de Mercado (Market Share): Gráfico de Treemap estruturado por faturamento de marcas. Evidencia a liderança do ecossistema das seguintes montadoras:</w:t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Fiat: R$ 281 Bi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Volkswagen: R$ 215 Bi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Chevrolet: R$ 209 Bi</w:t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Toyota: R$ 194 Bi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Concentração de Vendas (Desempenho por Modelo): Gráfico de Dispersão (Bubble Chart) que cruza o preço médio de tabela FIPE (Eixo X) com o volume absoluto de unidades vendidas (Eixo Y), mapeando a densidade de modelos no mercado e destacando outliers de grande volume ou preço elevado.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 2: Desempenho por Modelo e Filtros de Negócio - Performance de produtos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 página provê visões analíticas específicas por modelo de veículo e permite interações temporais diretas.</w:t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Componentes de Controle Interativo: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Segmentação de Ano (Slicer Superior): Filtros em botões para seleção de anos individuais (2020, 2021, 2022, 2023, 2024, 2025) para recalcular dinamicamente os rankings e insights.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Componentes Visuais (Gráficos):</w:t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Líderes de Vendas (Unidades Emplacadas por Veículo): Gráfico de barras horizontais indicando o top 5 de volume de emplacamentos.</w:t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Líder isolado: Fiat Strada (709,8 Mil unidades), seguido por Chevrolet Onix (573,7 Mil), Hyundai HB20 (540,2 Mil), Fiat Argo (475,1 Mil) e Volkswagen T-Cross (436,9 Mil).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Geração de Receita por Modelo de Veículo: Gráfico de barras horizontais focado no retorno financeiro gerado. Revela uma mudança de comportamento: embora a Fiat Strada lidere também em faturamento (R$ 78 Bi), modelos comerciais e SUVs mais caros, como a Toyota Hilux (R$ 71 Bi) e o Jeep Compass (R$ 66 Bi), sobem posições cruciais devido ao alto valor agregado do ticket.</w:t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Desempenho Financeiro por Segmento de Mercado: Área dedicada para análise da evolução percentual das categorias (ex: Hatch, Sedan, SUV, Picape).</w:t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3. Inteligência de Negócio &amp; Insights Extraídos</w:t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dashboard inclui uma seção automatizada de Storytelling/Insights de negócios na segunda tela, sintetizando as seguintes descobertas:</w:t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Premiumização e Mudança de Categoria: Entre 2020 e 2025, os segmentos tradicionais de entrada (como Hatch e Sedan) sofreram forte compressão de mercado. Em contrapartida, as categorias de SUVs e Picapes expandiram agressivamente. Conclui-se que o consumidor brasileiro migrou o perfil de compra para veículos de maior valor de tabela.</w:t>
      </w:r>
    </w:p>
    <w:p w:rsidR="00000000" w:rsidDel="00000000" w:rsidP="00000000" w:rsidRDefault="00000000" w:rsidRPr="00000000" w14:paraId="0000004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Força do Consumidor de Alta Renda: O mercado demonstrou um comportamento contra-cíclico. Mesmo com a taxa Selic saltando de 2,81% em 2020 para 13,96% em 2025, o faturamento estimado cresceu continuamente. Isso comprova que as vendas tornaram-se altamente dependentes do público de alta renda, cuja decisão de compra é menos sensível a taxas de juros de financiamentos populares e bancários.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Entre 2020 e 2025, as fatias de carros tradicionais (como Hatch e Sedan) ficaram espremidas, enquanto o segmento de SUVs (em roxo) e Picapes explodiu. O consumidor brasileiro passou a comprar carros mais caros.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Mesmo com a Selic saltando de </w:t>
      </w:r>
      <w:r w:rsidDel="00000000" w:rsidR="00000000" w:rsidRPr="00000000">
        <w:rPr>
          <w:b w:val="1"/>
          <w:bCs w:val="1"/>
          <w:rtl w:val="0"/>
        </w:rPr>
        <w:t xml:space="preserve">2,81%</w:t>
      </w:r>
      <w:r w:rsidDel="00000000" w:rsidR="00000000" w:rsidRPr="00000000">
        <w:rPr>
          <w:rtl w:val="0"/>
        </w:rPr>
        <w:t xml:space="preserve"> em 2020 para </w:t>
      </w:r>
      <w:r w:rsidDel="00000000" w:rsidR="00000000" w:rsidRPr="00000000">
        <w:rPr>
          <w:b w:val="1"/>
          <w:bCs w:val="1"/>
          <w:rtl w:val="0"/>
        </w:rPr>
        <w:t xml:space="preserve">13,96%</w:t>
      </w:r>
      <w:r w:rsidDel="00000000" w:rsidR="00000000" w:rsidRPr="00000000">
        <w:rPr>
          <w:rtl w:val="0"/>
        </w:rPr>
        <w:t xml:space="preserve"> em 2025, o faturamento estimado cresceu continuamente. Isso indica que: O mercado tornou-se mais dependente de compradores de alta renda (que compram SUVs/Picapes e dependem menos de financiamento bancário comum).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Três marcas (</w:t>
      </w:r>
      <w:r w:rsidDel="00000000" w:rsidR="00000000" w:rsidRPr="00000000">
        <w:rPr>
          <w:b w:val="1"/>
          <w:bCs w:val="1"/>
          <w:rtl w:val="0"/>
        </w:rPr>
        <w:t xml:space="preserve">Fiat</w:t>
      </w:r>
      <w:r w:rsidDel="00000000" w:rsidR="00000000" w:rsidRPr="00000000">
        <w:rPr>
          <w:rtl w:val="0"/>
        </w:rPr>
        <w:t xml:space="preserve"> com 281 Bi, </w:t>
      </w:r>
      <w:r w:rsidDel="00000000" w:rsidR="00000000" w:rsidRPr="00000000">
        <w:rPr>
          <w:b w:val="1"/>
          <w:bCs w:val="1"/>
          <w:rtl w:val="0"/>
        </w:rPr>
        <w:t xml:space="preserve">Volkswagen</w:t>
      </w:r>
      <w:r w:rsidDel="00000000" w:rsidR="00000000" w:rsidRPr="00000000">
        <w:rPr>
          <w:rtl w:val="0"/>
        </w:rPr>
        <w:t xml:space="preserve"> com 215 Bi e </w:t>
      </w:r>
      <w:r w:rsidDel="00000000" w:rsidR="00000000" w:rsidRPr="00000000">
        <w:rPr>
          <w:b w:val="1"/>
          <w:bCs w:val="1"/>
          <w:rtl w:val="0"/>
        </w:rPr>
        <w:t xml:space="preserve">Chevrolet</w:t>
      </w:r>
      <w:r w:rsidDel="00000000" w:rsidR="00000000" w:rsidRPr="00000000">
        <w:rPr>
          <w:rtl w:val="0"/>
        </w:rPr>
        <w:t xml:space="preserve"> com 209 Bi) dominam a maior parte do bolo financeiro dos emplacamentos. Elas conseguem equilibrar um portfólio que transita entre o carro de entrada (volume) e SUVs comerciais (margem).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Taxa Selic não influencia tanto nas vendas de Luxo. Foi analisado que quanto maior a taxa Selic maior a queda de vendas populares enquanto categorias de maior valor agregado, como SUVs e Picapes, mantêm-se estáveis ou crescem gradativamente.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Aplicação Web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AUTOCOMPARA — Compare. Decida. Dirija.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AUTOCOMPARA</w:t>
      </w:r>
      <w:r w:rsidDel="00000000" w:rsidR="00000000" w:rsidRPr="00000000">
        <w:rPr>
          <w:rtl w:val="0"/>
        </w:rPr>
        <w:t xml:space="preserve"> é uma plataforma digital inteligente voltada ao consumidor final e a analistas de mercado, projetada para simplificar a jornada de escolha e compra de automóveis. A aplicação resolve a dor da fragmentação de informações no setor automotivo, centralizando especificações técnicas, preços (tabela FIPE), dados de mercado e histórico de vendas em um único ambiente comparativo e altamente visual.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COMPARE:</w:t>
      </w:r>
      <w:r w:rsidDel="00000000" w:rsidR="00000000" w:rsidRPr="00000000">
        <w:rPr>
          <w:rtl w:val="0"/>
        </w:rPr>
        <w:t xml:space="preserve"> Permite ao usuário selecionar múltiplos veículos simultaneamente, filtrando por marcas, modelos, faixas de preço e categorias (Hatch, Sedan, SUV, Picape). O motor da busca realiza o cruzamento de dados técnicos obtidos de forma automatizada.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DECIDA:</w:t>
      </w:r>
      <w:r w:rsidDel="00000000" w:rsidR="00000000" w:rsidRPr="00000000">
        <w:rPr>
          <w:rtl w:val="0"/>
        </w:rPr>
        <w:t xml:space="preserve"> Fornece clareza analítica. Ao integrar inteligência de mercado, o usuário entende se o veículo desejado é uma tendência de mercado, qual seu ticket médio e como ele se posiciona frente aos concorrentes em desvalorização e volume de vendas.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DIRIJA:</w:t>
      </w:r>
      <w:r w:rsidDel="00000000" w:rsidR="00000000" w:rsidRPr="00000000">
        <w:rPr>
          <w:rtl w:val="0"/>
        </w:rPr>
        <w:t xml:space="preserve"> O objetivo final da conversão. Reduz o tempo de pesquisa do consumidor (jornada de compra), direcionando-o de forma assertiva e consciente para o fechamento do negócio.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Fonte de dados:</w:t>
      </w:r>
    </w:p>
    <w:p w:rsidR="00000000" w:rsidDel="00000000" w:rsidP="00000000" w:rsidRDefault="00000000" w:rsidRPr="00000000" w14:paraId="0000006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Emplacamentos de veículos e marcas no Brasil - AUTOO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yhkahihda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kp09knqvx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34m5tx6u4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26trd4ym9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eaucxj8zd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8jau6cli5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p067xs1u3l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d29ln9nee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k9srytkyy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5mxo5v51o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yy6xvd03zp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09dsrb2k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i9vyq9w1w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71qeccf6v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ezvek4i5og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e7j224106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utoo.com.br/emplacamentos/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yperlink" Target="https://auto-compara-fqyb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