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7966" w14:textId="1C43E652" w:rsidR="0072118F" w:rsidRPr="00335032" w:rsidRDefault="0072118F" w:rsidP="0072118F">
      <w:pPr>
        <w:spacing w:line="240" w:lineRule="auto"/>
        <w:rPr>
          <w:rFonts w:ascii="Times New Roman" w:hAnsi="Times New Roman" w:cs="Times New Roman"/>
          <w:sz w:val="24"/>
          <w:szCs w:val="24"/>
        </w:rPr>
      </w:pPr>
      <w:r w:rsidRPr="00335032">
        <w:rPr>
          <w:rFonts w:ascii="Times New Roman" w:hAnsi="Times New Roman" w:cs="Times New Roman"/>
          <w:b/>
          <w:sz w:val="24"/>
          <w:szCs w:val="24"/>
        </w:rPr>
        <w:t xml:space="preserve">Listing of </w:t>
      </w:r>
      <w:r w:rsidR="00E31F23">
        <w:rPr>
          <w:rFonts w:ascii="Times New Roman" w:hAnsi="Times New Roman" w:cs="Times New Roman"/>
          <w:b/>
          <w:sz w:val="24"/>
          <w:szCs w:val="24"/>
        </w:rPr>
        <w:t>Supplemental</w:t>
      </w:r>
      <w:r w:rsidR="00E31F23" w:rsidRPr="00335032">
        <w:rPr>
          <w:rFonts w:ascii="Times New Roman" w:hAnsi="Times New Roman" w:cs="Times New Roman"/>
          <w:b/>
          <w:sz w:val="24"/>
          <w:szCs w:val="24"/>
        </w:rPr>
        <w:t xml:space="preserve"> </w:t>
      </w:r>
      <w:r w:rsidRPr="00335032">
        <w:rPr>
          <w:rFonts w:ascii="Times New Roman" w:hAnsi="Times New Roman" w:cs="Times New Roman"/>
          <w:b/>
          <w:sz w:val="24"/>
          <w:szCs w:val="24"/>
        </w:rPr>
        <w:t>Material contents</w:t>
      </w:r>
    </w:p>
    <w:p w14:paraId="330D1400"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bookmarkStart w:id="0" w:name="_Hlk118727878"/>
      <w:r w:rsidRPr="00335032">
        <w:rPr>
          <w:rFonts w:ascii="Times New Roman" w:hAnsi="Times New Roman" w:cs="Times New Roman"/>
          <w:sz w:val="24"/>
          <w:szCs w:val="24"/>
        </w:rPr>
        <w:t>Table S1 lists the municipal code vendors and repositories that we used to access municipal codes outside of municipal websites.</w:t>
      </w:r>
    </w:p>
    <w:p w14:paraId="17C50497"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S2 details the matching words and weights used to construct the measures in our data. We also provide additional details about the process for particular measure constructions.</w:t>
      </w:r>
    </w:p>
    <w:p w14:paraId="7C4DDE5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S3 includes information about the principal components analysis, including the ZRI loadings.</w:t>
      </w:r>
    </w:p>
    <w:p w14:paraId="52585087"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S4 ranks the top-10 average values for a selected number of ZRI subindices.</w:t>
      </w:r>
    </w:p>
    <w:p w14:paraId="21163478"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S5 contains results for the logistic regressions used to estimate survey weights.</w:t>
      </w:r>
    </w:p>
    <w:p w14:paraId="6BE7A8DF"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S6 details summary statistics for the ZRI with and without applying stabilized sample weights.</w:t>
      </w:r>
    </w:p>
    <w:p w14:paraId="3146659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S7 details the comparison of NZI and RZI components against the WRLURI 2018 sample.</w:t>
      </w:r>
    </w:p>
    <w:p w14:paraId="74B3AE43"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S8 details the sociodemographic profile of municipalities and MSAs for quantiles of ZRI scores.</w:t>
      </w:r>
    </w:p>
    <w:p w14:paraId="2C3135D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S9 displays the means for ADU authorization, maximum permitted building heights, minimum parking requirements and proportions of residential districts permitting multifamily housing by right.</w:t>
      </w:r>
    </w:p>
    <w:p w14:paraId="76EAD8A9"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S10 contains the results for ZRI constructions using additional subindices and/or additional municipalities for the San Francisco and Houston MSAs.</w:t>
      </w:r>
    </w:p>
    <w:p w14:paraId="2A86B2A6"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S11 contains a comparison of the most restrictive municipalities between the full NZLUD and WRLURI 2018 samples.</w:t>
      </w:r>
    </w:p>
    <w:p w14:paraId="0C804979"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S12 contains a comparison of the most restrictive municipalities among municipalities in the NZLUD, WRLURI 2018 and NLLUS 2019 samples.</w:t>
      </w:r>
    </w:p>
    <w:p w14:paraId="308F5F28"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S13 details the comparison of the most restrictive MSAs between the full NZLUD and WRLURI 2018 samples.</w:t>
      </w:r>
    </w:p>
    <w:p w14:paraId="07423DDA"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S14 contains a comparison of the least restrictive municipalities between full NZLUD and WRLURI 2018 samples.</w:t>
      </w:r>
    </w:p>
    <w:p w14:paraId="134B902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S15 details the comparison of the least restrictive municipalities among municipalities in NZLUD, WRLURI 2018 and NLLUS 2019 samples.</w:t>
      </w:r>
    </w:p>
    <w:p w14:paraId="54E5748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S16 contains the comparison of the least restrictive MSAs between full NZLUD and WRLURI 2018 samples.</w:t>
      </w:r>
    </w:p>
    <w:p w14:paraId="01B4CC92"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S1 provides an example of dimensional requirements stored in text.</w:t>
      </w:r>
    </w:p>
    <w:p w14:paraId="1018A8E0"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S2 provides an example of dimensional requirements stored in a table.</w:t>
      </w:r>
    </w:p>
    <w:p w14:paraId="1D1356D2"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S3 details the comparison of states with the most inclusionary zoning programs between the NZLUD and NLLUS 2019 data.</w:t>
      </w:r>
    </w:p>
    <w:p w14:paraId="09F67EAC"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S4 illustrates density plots of ZRI (NZLUD) and WRLURI (WRLURI 2018) indices among all municipalities.</w:t>
      </w:r>
    </w:p>
    <w:p w14:paraId="506651C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S5 illustrates density plots of ZRI (NZLUD) and WRLURI (WRLURI 2018) indices among all MSAs.</w:t>
      </w:r>
      <w:bookmarkEnd w:id="0"/>
    </w:p>
    <w:p w14:paraId="1EC131D5" w14:textId="74BE0209" w:rsidR="0072118F" w:rsidRPr="00335032" w:rsidRDefault="0072118F" w:rsidP="00644B7D">
      <w:pPr>
        <w:spacing w:after="0" w:line="480" w:lineRule="auto"/>
        <w:rPr>
          <w:rFonts w:ascii="Times New Roman" w:eastAsia="Calibri" w:hAnsi="Times New Roman" w:cs="Times New Roman"/>
          <w:b/>
          <w:sz w:val="24"/>
          <w:szCs w:val="24"/>
        </w:rPr>
      </w:pPr>
    </w:p>
    <w:p w14:paraId="3F5DF3E1" w14:textId="77777777" w:rsidR="0072118F" w:rsidRPr="00335032" w:rsidRDefault="0072118F" w:rsidP="00644B7D">
      <w:pPr>
        <w:spacing w:after="0" w:line="480" w:lineRule="auto"/>
        <w:rPr>
          <w:rFonts w:ascii="Times New Roman" w:eastAsia="Calibri" w:hAnsi="Times New Roman" w:cs="Times New Roman"/>
          <w:b/>
          <w:sz w:val="24"/>
          <w:szCs w:val="24"/>
        </w:rPr>
      </w:pPr>
    </w:p>
    <w:p w14:paraId="5FF972B2" w14:textId="1898F78F"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 </w:t>
      </w:r>
      <w:r w:rsidRPr="00335032">
        <w:rPr>
          <w:rFonts w:ascii="Times New Roman" w:eastAsia="Calibri" w:hAnsi="Times New Roman" w:cs="Times New Roman"/>
          <w:sz w:val="24"/>
          <w:szCs w:val="24"/>
        </w:rPr>
        <w:t>Listing of municipal code vendors or repositories utilized</w:t>
      </w:r>
    </w:p>
    <w:tbl>
      <w:tblPr>
        <w:tblStyle w:val="TableGrid"/>
        <w:tblW w:w="0" w:type="auto"/>
        <w:tblLook w:val="04A0" w:firstRow="1" w:lastRow="0" w:firstColumn="1" w:lastColumn="0" w:noHBand="0" w:noVBand="1"/>
      </w:tblPr>
      <w:tblGrid>
        <w:gridCol w:w="9350"/>
      </w:tblGrid>
      <w:tr w:rsidR="00644B7D" w:rsidRPr="00335032" w14:paraId="6CDC6310" w14:textId="77777777" w:rsidTr="00E7334F">
        <w:tc>
          <w:tcPr>
            <w:tcW w:w="9350" w:type="dxa"/>
          </w:tcPr>
          <w:p w14:paraId="7FB20E52"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
                <w:sz w:val="24"/>
                <w:szCs w:val="24"/>
              </w:rPr>
              <w:t xml:space="preserve">Vendor/repository </w:t>
            </w:r>
          </w:p>
        </w:tc>
      </w:tr>
      <w:tr w:rsidR="00644B7D" w:rsidRPr="00335032" w14:paraId="3F8366E5" w14:textId="77777777" w:rsidTr="00E7334F">
        <w:tc>
          <w:tcPr>
            <w:tcW w:w="9350" w:type="dxa"/>
          </w:tcPr>
          <w:p w14:paraId="5DD13FA4"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Municode</w:t>
            </w:r>
          </w:p>
        </w:tc>
      </w:tr>
      <w:tr w:rsidR="00644B7D" w:rsidRPr="00335032" w14:paraId="77A6C715" w14:textId="77777777" w:rsidTr="00E7334F">
        <w:tc>
          <w:tcPr>
            <w:tcW w:w="9350" w:type="dxa"/>
          </w:tcPr>
          <w:p w14:paraId="2F0F43BF"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American Legal Publishing Company</w:t>
            </w:r>
          </w:p>
        </w:tc>
      </w:tr>
      <w:tr w:rsidR="00644B7D" w:rsidRPr="00335032" w14:paraId="5F4065C0" w14:textId="77777777" w:rsidTr="00E7334F">
        <w:tc>
          <w:tcPr>
            <w:tcW w:w="9350" w:type="dxa"/>
          </w:tcPr>
          <w:p w14:paraId="54306285"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Code Publishing, Inc</w:t>
            </w:r>
          </w:p>
        </w:tc>
      </w:tr>
      <w:tr w:rsidR="00644B7D" w:rsidRPr="00335032" w14:paraId="58E50108" w14:textId="77777777" w:rsidTr="00E7334F">
        <w:tc>
          <w:tcPr>
            <w:tcW w:w="9350" w:type="dxa"/>
          </w:tcPr>
          <w:p w14:paraId="448C63FF"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Sterling Codifiers</w:t>
            </w:r>
          </w:p>
        </w:tc>
      </w:tr>
      <w:tr w:rsidR="00644B7D" w:rsidRPr="00335032" w14:paraId="228AEB11" w14:textId="77777777" w:rsidTr="00E7334F">
        <w:tc>
          <w:tcPr>
            <w:tcW w:w="9350" w:type="dxa"/>
          </w:tcPr>
          <w:p w14:paraId="6465701D"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General Code (eCode360)</w:t>
            </w:r>
          </w:p>
        </w:tc>
      </w:tr>
      <w:tr w:rsidR="00644B7D" w:rsidRPr="00335032" w14:paraId="3B892591" w14:textId="77777777" w:rsidTr="00E7334F">
        <w:tc>
          <w:tcPr>
            <w:tcW w:w="9350" w:type="dxa"/>
          </w:tcPr>
          <w:p w14:paraId="4668BF8C"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Franklin Legal Publishing (Texas)</w:t>
            </w:r>
          </w:p>
        </w:tc>
      </w:tr>
      <w:tr w:rsidR="00644B7D" w:rsidRPr="00335032" w14:paraId="31AD55E1" w14:textId="77777777" w:rsidTr="00E7334F">
        <w:tc>
          <w:tcPr>
            <w:tcW w:w="9350" w:type="dxa"/>
          </w:tcPr>
          <w:p w14:paraId="1772FF00"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 xml:space="preserve">Municipal Technical Advisory Service Institute for Public Service at the University of Tennessee (Tennessee) </w:t>
            </w:r>
          </w:p>
        </w:tc>
      </w:tr>
      <w:tr w:rsidR="00644B7D" w:rsidRPr="00335032" w14:paraId="4498358A" w14:textId="77777777" w:rsidTr="00E7334F">
        <w:tc>
          <w:tcPr>
            <w:tcW w:w="9350" w:type="dxa"/>
          </w:tcPr>
          <w:p w14:paraId="61C45906"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Quality Code Publishing</w:t>
            </w:r>
          </w:p>
        </w:tc>
      </w:tr>
      <w:tr w:rsidR="00644B7D" w:rsidRPr="00335032" w14:paraId="33DC4359" w14:textId="77777777" w:rsidTr="00E7334F">
        <w:tc>
          <w:tcPr>
            <w:tcW w:w="9350" w:type="dxa"/>
          </w:tcPr>
          <w:p w14:paraId="1E4ABA5D"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ClerkBase</w:t>
            </w:r>
          </w:p>
        </w:tc>
      </w:tr>
      <w:tr w:rsidR="00644B7D" w:rsidRPr="00335032" w14:paraId="28BF98ED" w14:textId="77777777" w:rsidTr="00E7334F">
        <w:tc>
          <w:tcPr>
            <w:tcW w:w="9350" w:type="dxa"/>
          </w:tcPr>
          <w:p w14:paraId="241084B3"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Ranson Citycode</w:t>
            </w:r>
          </w:p>
        </w:tc>
      </w:tr>
      <w:tr w:rsidR="00644B7D" w:rsidRPr="00335032" w14:paraId="0087E8C6" w14:textId="77777777" w:rsidTr="00E7334F">
        <w:tc>
          <w:tcPr>
            <w:tcW w:w="9350" w:type="dxa"/>
          </w:tcPr>
          <w:p w14:paraId="595A8407"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State of Connecticut Judicial Branch Law Library Services</w:t>
            </w:r>
          </w:p>
        </w:tc>
      </w:tr>
      <w:tr w:rsidR="00644B7D" w:rsidRPr="00335032" w14:paraId="1AA6C8D5" w14:textId="77777777" w:rsidTr="00E7334F">
        <w:tc>
          <w:tcPr>
            <w:tcW w:w="9350" w:type="dxa"/>
          </w:tcPr>
          <w:p w14:paraId="78F99A71"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Drake University Law Library</w:t>
            </w:r>
          </w:p>
        </w:tc>
      </w:tr>
      <w:tr w:rsidR="00644B7D" w:rsidRPr="00335032" w14:paraId="5FBA1981" w14:textId="77777777" w:rsidTr="00E7334F">
        <w:tc>
          <w:tcPr>
            <w:tcW w:w="9350" w:type="dxa"/>
          </w:tcPr>
          <w:p w14:paraId="0B734210"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Nebraska Access</w:t>
            </w:r>
          </w:p>
        </w:tc>
      </w:tr>
    </w:tbl>
    <w:p w14:paraId="017164D3" w14:textId="77777777" w:rsidR="00644B7D" w:rsidRPr="00335032" w:rsidRDefault="00644B7D" w:rsidP="00644B7D">
      <w:pPr>
        <w:spacing w:after="0" w:line="480" w:lineRule="auto"/>
        <w:rPr>
          <w:rFonts w:ascii="Times New Roman" w:eastAsia="Calibri" w:hAnsi="Times New Roman" w:cs="Times New Roman"/>
          <w:sz w:val="24"/>
          <w:szCs w:val="24"/>
        </w:rPr>
      </w:pPr>
    </w:p>
    <w:p w14:paraId="7635A8E6" w14:textId="77777777" w:rsidR="00644B7D" w:rsidRPr="00335032" w:rsidRDefault="00644B7D" w:rsidP="00644B7D">
      <w:pPr>
        <w:spacing w:after="0" w:line="480" w:lineRule="auto"/>
        <w:rPr>
          <w:rFonts w:ascii="Times New Roman" w:eastAsia="Calibri" w:hAnsi="Times New Roman" w:cs="Times New Roman"/>
          <w:sz w:val="24"/>
          <w:szCs w:val="24"/>
        </w:rPr>
      </w:pPr>
    </w:p>
    <w:p w14:paraId="039D6CE1" w14:textId="77777777" w:rsidR="00644B7D" w:rsidRPr="00335032" w:rsidRDefault="00644B7D" w:rsidP="00644B7D">
      <w:pPr>
        <w:spacing w:after="0" w:line="480" w:lineRule="auto"/>
        <w:rPr>
          <w:rFonts w:ascii="Times New Roman" w:eastAsia="Calibri" w:hAnsi="Times New Roman" w:cs="Times New Roman"/>
          <w:sz w:val="24"/>
          <w:szCs w:val="24"/>
        </w:rPr>
      </w:pPr>
    </w:p>
    <w:p w14:paraId="4966B35A" w14:textId="77777777" w:rsidR="00644B7D" w:rsidRPr="00335032" w:rsidRDefault="00644B7D" w:rsidP="00644B7D">
      <w:pPr>
        <w:spacing w:after="0" w:line="480" w:lineRule="auto"/>
        <w:rPr>
          <w:rFonts w:ascii="Times New Roman" w:eastAsia="Calibri" w:hAnsi="Times New Roman" w:cs="Times New Roman"/>
          <w:sz w:val="24"/>
          <w:szCs w:val="24"/>
        </w:rPr>
      </w:pPr>
    </w:p>
    <w:p w14:paraId="03FB65B5" w14:textId="77777777" w:rsidR="00644B7D" w:rsidRPr="00335032" w:rsidRDefault="00644B7D" w:rsidP="00644B7D">
      <w:pPr>
        <w:spacing w:after="0" w:line="480" w:lineRule="auto"/>
        <w:rPr>
          <w:rFonts w:ascii="Times New Roman" w:eastAsia="Calibri" w:hAnsi="Times New Roman" w:cs="Times New Roman"/>
          <w:sz w:val="24"/>
          <w:szCs w:val="24"/>
        </w:rPr>
      </w:pPr>
    </w:p>
    <w:p w14:paraId="5E797458" w14:textId="77777777" w:rsidR="00644B7D" w:rsidRPr="00335032" w:rsidRDefault="00644B7D" w:rsidP="00644B7D">
      <w:pPr>
        <w:spacing w:after="0" w:line="480" w:lineRule="auto"/>
        <w:rPr>
          <w:rFonts w:ascii="Times New Roman" w:eastAsia="Calibri" w:hAnsi="Times New Roman" w:cs="Times New Roman"/>
          <w:sz w:val="24"/>
          <w:szCs w:val="24"/>
        </w:rPr>
      </w:pPr>
    </w:p>
    <w:p w14:paraId="74713885" w14:textId="77777777" w:rsidR="00644B7D" w:rsidRPr="00335032" w:rsidRDefault="00644B7D" w:rsidP="00644B7D">
      <w:pPr>
        <w:spacing w:after="0" w:line="480" w:lineRule="auto"/>
        <w:rPr>
          <w:rFonts w:ascii="Times New Roman" w:eastAsia="Calibri" w:hAnsi="Times New Roman" w:cs="Times New Roman"/>
          <w:sz w:val="24"/>
          <w:szCs w:val="24"/>
        </w:rPr>
      </w:pPr>
    </w:p>
    <w:p w14:paraId="36923D61" w14:textId="77777777" w:rsidR="00644B7D" w:rsidRPr="00335032" w:rsidRDefault="00644B7D" w:rsidP="00644B7D">
      <w:pPr>
        <w:spacing w:after="0" w:line="480" w:lineRule="auto"/>
        <w:rPr>
          <w:rFonts w:ascii="Times New Roman" w:eastAsia="Calibri" w:hAnsi="Times New Roman" w:cs="Times New Roman"/>
          <w:sz w:val="24"/>
          <w:szCs w:val="24"/>
        </w:rPr>
      </w:pPr>
    </w:p>
    <w:p w14:paraId="23497DD8" w14:textId="77777777" w:rsidR="00644B7D" w:rsidRPr="00335032" w:rsidRDefault="00644B7D" w:rsidP="00644B7D">
      <w:pPr>
        <w:spacing w:after="0" w:line="480" w:lineRule="auto"/>
        <w:rPr>
          <w:rFonts w:ascii="Times New Roman" w:eastAsia="Calibri" w:hAnsi="Times New Roman" w:cs="Times New Roman"/>
          <w:sz w:val="24"/>
          <w:szCs w:val="24"/>
        </w:rPr>
      </w:pPr>
    </w:p>
    <w:p w14:paraId="5DE4AEC8" w14:textId="25E28320" w:rsidR="00644B7D" w:rsidRPr="00335032" w:rsidRDefault="00644B7D" w:rsidP="00644B7D">
      <w:pPr>
        <w:spacing w:after="0" w:line="480" w:lineRule="auto"/>
        <w:rPr>
          <w:rFonts w:ascii="Times New Roman" w:eastAsia="Calibri" w:hAnsi="Times New Roman" w:cs="Times New Roman"/>
          <w:b/>
          <w:sz w:val="24"/>
          <w:szCs w:val="24"/>
        </w:rPr>
      </w:pPr>
    </w:p>
    <w:p w14:paraId="056263F4" w14:textId="77777777" w:rsidR="001140C0" w:rsidRPr="00335032" w:rsidRDefault="001140C0" w:rsidP="00644B7D">
      <w:pPr>
        <w:rPr>
          <w:rFonts w:ascii="Times New Roman" w:hAnsi="Times New Roman" w:cs="Times New Roman"/>
          <w:bCs/>
          <w:i/>
          <w:iCs/>
          <w:sz w:val="24"/>
          <w:szCs w:val="24"/>
        </w:rPr>
      </w:pPr>
    </w:p>
    <w:p w14:paraId="04D9116C" w14:textId="77777777" w:rsidR="001140C0" w:rsidRPr="00335032" w:rsidRDefault="001140C0" w:rsidP="00644B7D">
      <w:pPr>
        <w:rPr>
          <w:rFonts w:ascii="Times New Roman" w:hAnsi="Times New Roman" w:cs="Times New Roman"/>
          <w:bCs/>
          <w:i/>
          <w:iCs/>
          <w:sz w:val="24"/>
          <w:szCs w:val="24"/>
        </w:rPr>
      </w:pPr>
    </w:p>
    <w:p w14:paraId="7C199733" w14:textId="77777777" w:rsidR="001140C0" w:rsidRPr="00335032" w:rsidRDefault="001140C0" w:rsidP="00644B7D">
      <w:pPr>
        <w:rPr>
          <w:rFonts w:ascii="Times New Roman" w:hAnsi="Times New Roman" w:cs="Times New Roman"/>
          <w:bCs/>
          <w:i/>
          <w:iCs/>
          <w:sz w:val="24"/>
          <w:szCs w:val="24"/>
        </w:rPr>
      </w:pPr>
    </w:p>
    <w:p w14:paraId="014DA6C5" w14:textId="77777777" w:rsidR="001140C0" w:rsidRPr="00335032" w:rsidRDefault="001140C0" w:rsidP="00644B7D">
      <w:pPr>
        <w:rPr>
          <w:rFonts w:ascii="Times New Roman" w:hAnsi="Times New Roman" w:cs="Times New Roman"/>
          <w:bCs/>
          <w:i/>
          <w:iCs/>
          <w:sz w:val="24"/>
          <w:szCs w:val="24"/>
        </w:rPr>
      </w:pPr>
    </w:p>
    <w:p w14:paraId="6F3E5B3D" w14:textId="77777777" w:rsidR="001140C0" w:rsidRPr="00335032" w:rsidRDefault="001140C0" w:rsidP="00644B7D">
      <w:pPr>
        <w:rPr>
          <w:rFonts w:ascii="Times New Roman" w:hAnsi="Times New Roman" w:cs="Times New Roman"/>
          <w:bCs/>
          <w:i/>
          <w:iCs/>
          <w:sz w:val="24"/>
          <w:szCs w:val="24"/>
        </w:rPr>
      </w:pPr>
    </w:p>
    <w:p w14:paraId="7FE62C8C" w14:textId="77777777" w:rsidR="001140C0" w:rsidRPr="00335032" w:rsidRDefault="001140C0" w:rsidP="00644B7D">
      <w:pPr>
        <w:rPr>
          <w:rFonts w:ascii="Times New Roman" w:hAnsi="Times New Roman" w:cs="Times New Roman"/>
          <w:bCs/>
          <w:i/>
          <w:iCs/>
          <w:sz w:val="24"/>
          <w:szCs w:val="24"/>
        </w:rPr>
      </w:pPr>
    </w:p>
    <w:p w14:paraId="028C1832" w14:textId="463F27C9" w:rsidR="00644B7D" w:rsidRPr="00335032" w:rsidRDefault="00644B7D" w:rsidP="00644B7D">
      <w:pPr>
        <w:rPr>
          <w:rFonts w:ascii="Times New Roman" w:hAnsi="Times New Roman" w:cs="Times New Roman"/>
          <w:b/>
          <w:i/>
          <w:iCs/>
          <w:sz w:val="24"/>
          <w:szCs w:val="24"/>
        </w:rPr>
      </w:pPr>
      <w:r w:rsidRPr="00335032">
        <w:rPr>
          <w:rFonts w:ascii="Times New Roman" w:hAnsi="Times New Roman" w:cs="Times New Roman"/>
          <w:bCs/>
          <w:i/>
          <w:iCs/>
          <w:sz w:val="24"/>
          <w:szCs w:val="24"/>
        </w:rPr>
        <w:lastRenderedPageBreak/>
        <w:t>Specific details on construction of each measure</w:t>
      </w:r>
      <w:r w:rsidRPr="00335032">
        <w:rPr>
          <w:rFonts w:ascii="Times New Roman" w:hAnsi="Times New Roman" w:cs="Times New Roman"/>
          <w:b/>
          <w:i/>
          <w:iCs/>
          <w:sz w:val="24"/>
          <w:szCs w:val="24"/>
        </w:rPr>
        <w:t xml:space="preserve"> </w:t>
      </w:r>
    </w:p>
    <w:p w14:paraId="5AD4DD12" w14:textId="77777777" w:rsidR="00644B7D" w:rsidRPr="00335032" w:rsidRDefault="00644B7D" w:rsidP="00644B7D">
      <w:pPr>
        <w:rPr>
          <w:rFonts w:ascii="Times New Roman" w:hAnsi="Times New Roman" w:cs="Times New Roman"/>
          <w:bCs/>
          <w:sz w:val="24"/>
          <w:szCs w:val="24"/>
        </w:rPr>
      </w:pPr>
      <w:r w:rsidRPr="00335032">
        <w:rPr>
          <w:rFonts w:ascii="Times New Roman" w:hAnsi="Times New Roman" w:cs="Times New Roman"/>
          <w:bCs/>
          <w:sz w:val="24"/>
          <w:szCs w:val="24"/>
        </w:rPr>
        <w:t xml:space="preserve">The standard approach for each measure construction (denoted as “Standard construction” in the “Notes” column of Table S2) is as follows: the measure is created by finding a positive initial match in the text via a regular expressions search. After a positive match is found, the preceding and following 250 characters of the matching word or phrase are captured, creating a text string of roughly 500 characters. Next, for each captured text string corresponding to each measure, we search this text string for words or phrases with associated values in the “Weighted match” column. If the sum of the matching words in this text string exceeds 5, we set the indicator for the measure to 1. Otherwise, the indicator for the measure remains 0. </w:t>
      </w:r>
    </w:p>
    <w:p w14:paraId="3331DB73" w14:textId="7215B27E" w:rsidR="00644B7D" w:rsidRPr="00335032" w:rsidRDefault="00644B7D" w:rsidP="00644B7D">
      <w:pPr>
        <w:rPr>
          <w:rFonts w:ascii="Times New Roman" w:hAnsi="Times New Roman" w:cs="Times New Roman"/>
          <w:bCs/>
          <w:sz w:val="24"/>
          <w:szCs w:val="24"/>
        </w:rPr>
      </w:pPr>
      <w:r w:rsidRPr="00335032">
        <w:rPr>
          <w:rFonts w:ascii="Times New Roman" w:hAnsi="Times New Roman" w:cs="Times New Roman"/>
          <w:bCs/>
          <w:sz w:val="24"/>
          <w:szCs w:val="24"/>
        </w:rPr>
        <w:t>The collection of dimensional requirements (minimum lot size, maximum permitted density, building heights, and parking requirements) required a different procedure (denoted as “Dimensional requirements approach” in the “Notes” column of Table S2). We extracted this information directly from the text and dimensional tables. The process for extracting dimensional requirements from the text has the following steps:</w:t>
      </w:r>
    </w:p>
    <w:p w14:paraId="1ABC9170"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Begin with a match on a word or phrase in the “Initial match” column, capturing a range of preceding and following characters (minimum of 250, up to 2,000)</w:t>
      </w:r>
    </w:p>
    <w:p w14:paraId="4F24342D"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Within the initial match, if a stop-word or phrase is not triggered, search for the relevant dimensional information as specified in the “Weighted match” column (acres, square feet, units per acre, parking spots per unit, or building heights in feet or stories) and extract the preceding and following 250 characters (70 for parking and building heights) for additional false-positive matches depending on the matched metric. </w:t>
      </w:r>
    </w:p>
    <w:p w14:paraId="3AF28EE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screen out strings relevant to planned unit developments or related developments (e.g., cluster developments), square feet and maximum density, or correctly parse mentions of units per acre.</w:t>
      </w:r>
    </w:p>
    <w:p w14:paraId="0661AEC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screen out strings relevant to planned unit developments or related developments (e.g., cluster developments)</w:t>
      </w:r>
    </w:p>
    <w:p w14:paraId="6C7AE73A"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Next, limit the matched string to a narrower range of characters</w:t>
      </w:r>
    </w:p>
    <w:p w14:paraId="42057B3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the preceding and following 60 characters</w:t>
      </w:r>
    </w:p>
    <w:p w14:paraId="6755544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the preceding and following 65 characters</w:t>
      </w:r>
    </w:p>
    <w:p w14:paraId="4F8F43C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units per acre, at least the preceding and following 25 characters, up to 65 characters</w:t>
      </w:r>
    </w:p>
    <w:p w14:paraId="4628A354"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This step is skipped for parking requirements and building heights since their initial matched string is already smaller</w:t>
      </w:r>
    </w:p>
    <w:p w14:paraId="200EAC87"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Within this narrower text string, conduct a series of tests for stop-words and stop-phrases along with indicators of a true-positive match</w:t>
      </w:r>
    </w:p>
    <w:p w14:paraId="6DFD76CE"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screen out matches relating to maximum lot size or maximum density and search for indications of minimum lot size, minimum lot area, etc.</w:t>
      </w:r>
    </w:p>
    <w:p w14:paraId="2FC3ACC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screen out matches relating to minimum floor size or unit size and search for indications of minimum lot size, minimum lot area, etc.</w:t>
      </w:r>
    </w:p>
    <w:p w14:paraId="00C83686"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units per acre, parking requirements, or building heights, screen out stop-words and stop-phrases</w:t>
      </w:r>
    </w:p>
    <w:p w14:paraId="1BE05932"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lastRenderedPageBreak/>
        <w:t>If no stop-words or stop-phrases have been triggered and a match indicating minimum lot size or maximum permitted density was made in the second, narrower text string, create one last text string immediately surrounding the matched dimensional criteria</w:t>
      </w:r>
    </w:p>
    <w:p w14:paraId="08CA9495"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acres, restrict the final string to the preceding and following 10 characters, screening out matches on maximum lot size information </w:t>
      </w:r>
    </w:p>
    <w:p w14:paraId="5EB2C6B2"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restrict the final string to at least the 10 (up to 45) preceding and following characters</w:t>
      </w:r>
    </w:p>
    <w:p w14:paraId="0B7D8374"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units per acre, restrict the final string to at least the 25 (up to 65) preceding and following characters</w:t>
      </w:r>
    </w:p>
    <w:p w14:paraId="6928C0C5"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parking, restrict the final string to the preceding and following 45 characters</w:t>
      </w:r>
    </w:p>
    <w:p w14:paraId="5B78384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building heights, the preceding and following 10 characters</w:t>
      </w:r>
    </w:p>
    <w:p w14:paraId="2E13FF85"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Within this final matched string, extract any numbers, screening out irrelevant numeric information (e.g., lot width in feet). These numbers are stored as final matches and will be used to create the final indicators. </w:t>
      </w:r>
    </w:p>
    <w:p w14:paraId="503E513B" w14:textId="77777777" w:rsidR="00644B7D" w:rsidRPr="00335032" w:rsidRDefault="00644B7D" w:rsidP="00644B7D">
      <w:pPr>
        <w:spacing w:line="240" w:lineRule="auto"/>
        <w:rPr>
          <w:rFonts w:ascii="Times New Roman" w:hAnsi="Times New Roman" w:cs="Times New Roman"/>
          <w:bCs/>
          <w:sz w:val="24"/>
          <w:szCs w:val="24"/>
        </w:rPr>
      </w:pPr>
    </w:p>
    <w:p w14:paraId="01BF1BF4"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The process for extracting dimensional requirements from tables has the following steps:</w:t>
      </w:r>
    </w:p>
    <w:p w14:paraId="1BA0191D"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There are two different kinds of tables that can appear in municipal codes. In one format, the columns represent dimensional requirements and each row generally represents a zoning district (what we will call format A). In the other format, the columns represent zoning districts and the rows represent the dimensional requirements (what we will call format B). The general approach to parsing information is similar for both formats, with some exceptions which we note below. Also note that we do not explicitly extract parking information from dimensional regulation tables.</w:t>
      </w:r>
    </w:p>
    <w:p w14:paraId="67F02D39"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Begin with a match on a word or phrase in the “Initial match” column, capturing a range of preceding and following characters (minimum of 250, up to 2,000). Generally, these strings will collect up to 2,000 characters following the match in order to capture potentially large dimensional regulations tables. </w:t>
      </w:r>
    </w:p>
    <w:p w14:paraId="0403E3B0"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Within this matched string, search for potential columns, representing either dimensional requirements in format A or zoning districts in format B and check for stop-words or stop-phrases.</w:t>
      </w:r>
    </w:p>
    <w:p w14:paraId="244293B5"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enough potential columns exist, build the table header. Start with identifying where the rows begin by searching for either zoning districts in format A or dimensional requirements in format B. This will indicate the end of the table header. Calculate the beginning of the table header by iterating through matching words commonly indicating the beginning of a table (e.g., zoning district). </w:t>
      </w:r>
    </w:p>
    <w:p w14:paraId="29294625"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 valid header is constructed and no stop-words or stop-phrases are triggered, clean the header and construct the rows, verifying that each row is not too short or long. Loop through the rows to search for relevant dimensional requirements. Convert the row to a blank string if it includes irrelevant information or end the entire process for the original matched string if a particular stop-word or stop-phrase is triggered (e.g., notes:)</w:t>
      </w:r>
    </w:p>
    <w:p w14:paraId="2F74C68B"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the table is in format A, identify columns with minimum lot size, maximum permitted density and/or maximum building height information via regular expressions searches. Create a list version of the table header, marking the index of the column with the relevant dimensional criteria. The number stored in the matching index for eligible rows (i.e., single units in residential zoning districts) will be extracted as a final match. </w:t>
      </w:r>
    </w:p>
    <w:p w14:paraId="2DF198D1" w14:textId="73E7A8EF"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lastRenderedPageBreak/>
        <w:t>If the table is in format B, identify the rows that contain minimum lot size, maximum permitted density and/or maximum building height information. Create a list version of the header, noting the first index indicating inappropriate matches (e.g., PUDs, cluster developments, commercial, industrial). Do not allow matches for this and future indices, unless the information pertains to a single residential unit. The eligible numeric information of the flagged row will be stored as final matches.</w:t>
      </w:r>
    </w:p>
    <w:p w14:paraId="288046FE" w14:textId="77777777" w:rsidR="00644B7D" w:rsidRPr="00335032" w:rsidRDefault="00644B7D" w:rsidP="00644B7D">
      <w:pPr>
        <w:spacing w:line="240" w:lineRule="auto"/>
        <w:rPr>
          <w:rFonts w:ascii="Times New Roman" w:hAnsi="Times New Roman" w:cs="Times New Roman"/>
          <w:bCs/>
          <w:sz w:val="24"/>
          <w:szCs w:val="24"/>
        </w:rPr>
      </w:pPr>
    </w:p>
    <w:p w14:paraId="5C305989"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Finally, the process for determining the proportion of residential districts that permit multi-family housing by right is as follows:</w:t>
      </w:r>
    </w:p>
    <w:p w14:paraId="45E7BFC0"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Begin with a match on a word or phrase in the “Initial match” column, capturing a range of preceding and following characters up to 2,000. </w:t>
      </w:r>
    </w:p>
    <w:p w14:paraId="66B40090"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Search this text string for any possible residential district, exiting the process if a stop-word or stop-phrase is triggered.</w:t>
      </w:r>
    </w:p>
    <w:p w14:paraId="22869005"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 match is found, search the text string for indications of single-family, multi-family, two or three-family (including townhomes and attached single-family), or mixed-use permissions. Calculate distances from the matched residential district indicator to matching instances of these permitted uses and assign the matching district to the permitted use with the smallest distance from the matched indicator in the string. If a flag is triggered indicating that multiple permitted uses are present in the text (indicating that distance to the original match is not a valid approach), assign the permitted use via the following hierarchy: any multi-family match indicates permitted multi-family use, followed by mixed-use, followed by two-family, followed by single-family. For instance, if a district R-3 indicates that single-family, two-family and multi-family housing is permitted by right, the district will be assigned as a multi-family permitting district for this particular string.</w:t>
      </w:r>
    </w:p>
    <w:p w14:paraId="1F4FE563"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Store each matching residential district as key in a dictionary along with each one of their matching permitted uses. After completing this process for all input strings, assign the matched residential districts to their modal values. So, for instance, suppose districts R-1, R-2, and R-3 were matched with the following values: [R-1: single-family, single-family, two-family; R-2: two-family, two-family; R-3: multi-family, single-family, multi-family]. R-1 will be assigned single-family, R-2 two-family, and R-3 multi-family. In the case of ties, the first modal value calculated is assigned.</w:t>
      </w:r>
    </w:p>
    <w:p w14:paraId="571FCB13"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Finally, calculate the proportion of residential districts permitting multi-family housing by right. The numerator will be the number of matched districts assigned to either multi-family or mixed-use. The denominator will be all matched residential districts with at least one value. In the example above, the final value would be 1/3. </w:t>
      </w:r>
    </w:p>
    <w:p w14:paraId="79BE7602" w14:textId="77777777" w:rsidR="00644B7D" w:rsidRPr="00335032" w:rsidRDefault="00644B7D" w:rsidP="00644B7D">
      <w:pPr>
        <w:spacing w:line="240" w:lineRule="auto"/>
        <w:rPr>
          <w:rFonts w:ascii="Times New Roman" w:hAnsi="Times New Roman" w:cs="Times New Roman"/>
          <w:bCs/>
          <w:sz w:val="24"/>
          <w:szCs w:val="24"/>
        </w:rPr>
      </w:pPr>
    </w:p>
    <w:p w14:paraId="0E87B5A8"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See Table S2 below for information regarding matching words and weights, along with additional notes on measure construction.</w:t>
      </w:r>
    </w:p>
    <w:p w14:paraId="2F0C1C14" w14:textId="77777777" w:rsidR="001140C0" w:rsidRPr="00335032" w:rsidRDefault="001140C0" w:rsidP="00644B7D">
      <w:pPr>
        <w:spacing w:line="240" w:lineRule="auto"/>
        <w:rPr>
          <w:rFonts w:ascii="Times New Roman" w:eastAsia="Calibri" w:hAnsi="Times New Roman" w:cs="Times New Roman"/>
          <w:b/>
          <w:sz w:val="24"/>
          <w:szCs w:val="24"/>
        </w:rPr>
      </w:pPr>
    </w:p>
    <w:p w14:paraId="0A9383E5" w14:textId="77777777" w:rsidR="001140C0" w:rsidRPr="00335032" w:rsidRDefault="001140C0" w:rsidP="00644B7D">
      <w:pPr>
        <w:spacing w:line="240" w:lineRule="auto"/>
        <w:rPr>
          <w:rFonts w:ascii="Times New Roman" w:eastAsia="Calibri" w:hAnsi="Times New Roman" w:cs="Times New Roman"/>
          <w:b/>
          <w:sz w:val="24"/>
          <w:szCs w:val="24"/>
        </w:rPr>
      </w:pPr>
    </w:p>
    <w:p w14:paraId="6A66E941" w14:textId="77777777" w:rsidR="001140C0" w:rsidRPr="00335032" w:rsidRDefault="001140C0" w:rsidP="00644B7D">
      <w:pPr>
        <w:spacing w:line="240" w:lineRule="auto"/>
        <w:rPr>
          <w:rFonts w:ascii="Times New Roman" w:eastAsia="Calibri" w:hAnsi="Times New Roman" w:cs="Times New Roman"/>
          <w:b/>
          <w:sz w:val="24"/>
          <w:szCs w:val="24"/>
        </w:rPr>
      </w:pPr>
    </w:p>
    <w:p w14:paraId="67D6E98C" w14:textId="5837A94E" w:rsidR="00644B7D" w:rsidRPr="00335032" w:rsidRDefault="00644B7D" w:rsidP="00644B7D">
      <w:pPr>
        <w:spacing w:line="240" w:lineRule="auto"/>
        <w:rPr>
          <w:rFonts w:ascii="Times New Roman" w:hAnsi="Times New Roman" w:cs="Times New Roman"/>
          <w:bCs/>
          <w:sz w:val="24"/>
          <w:szCs w:val="24"/>
        </w:rPr>
      </w:pPr>
      <w:r w:rsidRPr="00335032">
        <w:rPr>
          <w:rFonts w:ascii="Times New Roman" w:eastAsia="Calibri" w:hAnsi="Times New Roman" w:cs="Times New Roman"/>
          <w:b/>
          <w:sz w:val="24"/>
          <w:szCs w:val="24"/>
        </w:rPr>
        <w:lastRenderedPageBreak/>
        <w:t xml:space="preserve">Table S2. </w:t>
      </w:r>
      <w:r w:rsidRPr="00335032">
        <w:rPr>
          <w:rFonts w:ascii="Times New Roman" w:eastAsia="Calibri" w:hAnsi="Times New Roman" w:cs="Times New Roman"/>
          <w:bCs/>
          <w:sz w:val="24"/>
          <w:szCs w:val="24"/>
        </w:rPr>
        <w:t>Matching words and weights for measure construction</w:t>
      </w:r>
    </w:p>
    <w:tbl>
      <w:tblPr>
        <w:tblStyle w:val="TableGrid"/>
        <w:tblW w:w="0" w:type="auto"/>
        <w:tblLook w:val="04A0" w:firstRow="1" w:lastRow="0" w:firstColumn="1" w:lastColumn="0" w:noHBand="0" w:noVBand="1"/>
      </w:tblPr>
      <w:tblGrid>
        <w:gridCol w:w="1615"/>
        <w:gridCol w:w="2961"/>
        <w:gridCol w:w="2169"/>
        <w:gridCol w:w="2057"/>
      </w:tblGrid>
      <w:tr w:rsidR="00644B7D" w:rsidRPr="00335032" w14:paraId="7A1B24FB" w14:textId="77777777" w:rsidTr="00E7334F">
        <w:tc>
          <w:tcPr>
            <w:tcW w:w="1615" w:type="dxa"/>
          </w:tcPr>
          <w:p w14:paraId="3ACA7F9E"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Measure</w:t>
            </w:r>
          </w:p>
        </w:tc>
        <w:tc>
          <w:tcPr>
            <w:tcW w:w="2961" w:type="dxa"/>
          </w:tcPr>
          <w:p w14:paraId="058EAF7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Initial match</w:t>
            </w:r>
          </w:p>
        </w:tc>
        <w:tc>
          <w:tcPr>
            <w:tcW w:w="2169" w:type="dxa"/>
          </w:tcPr>
          <w:p w14:paraId="4DEEEEC7"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 xml:space="preserve">Weighted match (weight value in parentheses) </w:t>
            </w:r>
          </w:p>
        </w:tc>
        <w:tc>
          <w:tcPr>
            <w:tcW w:w="2057" w:type="dxa"/>
          </w:tcPr>
          <w:p w14:paraId="624B341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Notes</w:t>
            </w:r>
          </w:p>
        </w:tc>
      </w:tr>
      <w:tr w:rsidR="00644B7D" w:rsidRPr="00335032" w14:paraId="7995DCBA" w14:textId="77777777" w:rsidTr="00E7334F">
        <w:tc>
          <w:tcPr>
            <w:tcW w:w="1615" w:type="dxa"/>
          </w:tcPr>
          <w:p w14:paraId="7E66B95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 single-family permits</w:t>
            </w:r>
          </w:p>
        </w:tc>
        <w:tc>
          <w:tcPr>
            <w:tcW w:w="2961" w:type="dxa"/>
          </w:tcPr>
          <w:p w14:paraId="45E0A70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residential subdivision building permits, unit ceiling, growth management, growth control, growth rate, development approvals</w:t>
            </w:r>
          </w:p>
        </w:tc>
        <w:tc>
          <w:tcPr>
            <w:tcW w:w="2169" w:type="dxa"/>
          </w:tcPr>
          <w:p w14:paraId="5673A2F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(1), growth management (3), growth control (3), growth (1.5), scheduled development (1), maximum (2), no more (1), population (1), annual (1), year (1), fixed (2), controlled (2), quota (2), moratorium (2), allocate (2), cap (2), approved (1), calculation (1)</w:t>
            </w:r>
          </w:p>
        </w:tc>
        <w:tc>
          <w:tcPr>
            <w:tcW w:w="2057" w:type="dxa"/>
          </w:tcPr>
          <w:p w14:paraId="2D3F89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Standard construction; we manually correct false positive flags for four municipalities (Orlando, FL; Palm Beach Gardens, FL; Winstom-Salem, NC; Barre, MA)</w:t>
            </w:r>
          </w:p>
        </w:tc>
      </w:tr>
      <w:tr w:rsidR="00644B7D" w:rsidRPr="00335032" w14:paraId="571E9789" w14:textId="77777777" w:rsidTr="00E7334F">
        <w:tc>
          <w:tcPr>
            <w:tcW w:w="1615" w:type="dxa"/>
          </w:tcPr>
          <w:p w14:paraId="0541BD5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 multi-family permits</w:t>
            </w:r>
          </w:p>
        </w:tc>
        <w:tc>
          <w:tcPr>
            <w:tcW w:w="2961" w:type="dxa"/>
          </w:tcPr>
          <w:p w14:paraId="460875B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residential subdivision building permits, unit ceiling, growth management, growth control, growth rate, development approvals</w:t>
            </w:r>
          </w:p>
        </w:tc>
        <w:tc>
          <w:tcPr>
            <w:tcW w:w="2169" w:type="dxa"/>
          </w:tcPr>
          <w:p w14:paraId="4D98A42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Limit (1), growth management (3), growth control (3), growth (1.5), scheduled development (1), maximum (2), no more (1), population (1), annual (1), year (1), fixed (2), controlled (2), quota (2), moratorium (2), allocate (2), cap (2), approved (1), calculation (1)</w:t>
            </w:r>
          </w:p>
        </w:tc>
        <w:tc>
          <w:tcPr>
            <w:tcW w:w="2057" w:type="dxa"/>
          </w:tcPr>
          <w:p w14:paraId="73DF431D"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four municipalities (Orlando, FL; Palm Beach Gardens, FL; Winstom-Salem, NC; Barre, MA)</w:t>
            </w:r>
          </w:p>
        </w:tc>
      </w:tr>
      <w:tr w:rsidR="00644B7D" w:rsidRPr="00335032" w14:paraId="24430833" w14:textId="77777777" w:rsidTr="00E7334F">
        <w:tc>
          <w:tcPr>
            <w:tcW w:w="1615" w:type="dxa"/>
          </w:tcPr>
          <w:p w14:paraId="4BA8411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single-family units</w:t>
            </w:r>
          </w:p>
        </w:tc>
        <w:tc>
          <w:tcPr>
            <w:tcW w:w="2961" w:type="dxa"/>
          </w:tcPr>
          <w:p w14:paraId="10D6769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0E9020C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Construction (1), unit (1), dwelling (1), limit (1), growth management (3), growth control (3), growth (1.5), scheduled development (2), maximum (2), population (1), annual (1), year (1), fixed (2), controlled (1), quota (1), moratorium (2), allocate (1), cap(2), approved (1)</w:t>
            </w:r>
          </w:p>
        </w:tc>
        <w:tc>
          <w:tcPr>
            <w:tcW w:w="2057" w:type="dxa"/>
          </w:tcPr>
          <w:p w14:paraId="4A4716D0"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four municipalities (Orlando, FL; Palm Beach Gardens, FL; Winstom-Salem, NC; Barre, MA)</w:t>
            </w:r>
          </w:p>
        </w:tc>
      </w:tr>
      <w:tr w:rsidR="00644B7D" w:rsidRPr="00335032" w14:paraId="36787960" w14:textId="77777777" w:rsidTr="00E7334F">
        <w:tc>
          <w:tcPr>
            <w:tcW w:w="1615" w:type="dxa"/>
          </w:tcPr>
          <w:p w14:paraId="3A9E4FD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units</w:t>
            </w:r>
          </w:p>
        </w:tc>
        <w:tc>
          <w:tcPr>
            <w:tcW w:w="2961" w:type="dxa"/>
          </w:tcPr>
          <w:p w14:paraId="6668BCB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5B1DD196"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 xml:space="preserve">Construction (1), unit (1), dwelling (1), limit (1), growth management (3), growth control (3), growth (1.5), scheduled development (2), maximum (2), population (1), annual (1), year (1), fixed (2), </w:t>
            </w:r>
            <w:r w:rsidRPr="00335032">
              <w:rPr>
                <w:rFonts w:ascii="Times New Roman" w:eastAsia="Calibri" w:hAnsi="Times New Roman" w:cs="Times New Roman"/>
                <w:bCs/>
                <w:sz w:val="20"/>
                <w:szCs w:val="20"/>
              </w:rPr>
              <w:lastRenderedPageBreak/>
              <w:t>controlled (1), quota (1), moratorium (2), allocate (1), cap (2), approved (1)</w:t>
            </w:r>
          </w:p>
        </w:tc>
        <w:tc>
          <w:tcPr>
            <w:tcW w:w="2057" w:type="dxa"/>
          </w:tcPr>
          <w:p w14:paraId="21FE5E68"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lastRenderedPageBreak/>
              <w:t>Standard construction; we manually correct false positive flags for four municipalities (Orlando, FL; Palm Beach Gardens, FL; Winstom-Salem, NC; Barre, MA)</w:t>
            </w:r>
          </w:p>
        </w:tc>
      </w:tr>
      <w:tr w:rsidR="00644B7D" w:rsidRPr="00335032" w14:paraId="4B5B9559" w14:textId="77777777" w:rsidTr="00E7334F">
        <w:tc>
          <w:tcPr>
            <w:tcW w:w="1615" w:type="dxa"/>
          </w:tcPr>
          <w:p w14:paraId="46D517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dwellings</w:t>
            </w:r>
          </w:p>
        </w:tc>
        <w:tc>
          <w:tcPr>
            <w:tcW w:w="2961" w:type="dxa"/>
          </w:tcPr>
          <w:p w14:paraId="77E778E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06174344"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 xml:space="preserve">Restricted (1), allowable (1), limit (1), growth management (3), growth control (3), growth (1), scheduled development (1), maximum (2), no more (1), population (1), fixed (1), controlled (2), quota (2), moratorium (2), allocate (1), annual (1), year (1), cap (2), approved (1), calculation (1), dwellings (1) </w:t>
            </w:r>
          </w:p>
        </w:tc>
        <w:tc>
          <w:tcPr>
            <w:tcW w:w="2057" w:type="dxa"/>
          </w:tcPr>
          <w:p w14:paraId="457C4478"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three municipalities (Orlando, FL; Winstom-Salem, NC; Barre, MA)</w:t>
            </w:r>
          </w:p>
        </w:tc>
      </w:tr>
      <w:tr w:rsidR="00644B7D" w:rsidRPr="00335032" w14:paraId="69FD42E3" w14:textId="77777777" w:rsidTr="00E7334F">
        <w:tc>
          <w:tcPr>
            <w:tcW w:w="1615" w:type="dxa"/>
          </w:tcPr>
          <w:p w14:paraId="137D447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dwelling units</w:t>
            </w:r>
          </w:p>
        </w:tc>
        <w:tc>
          <w:tcPr>
            <w:tcW w:w="2961" w:type="dxa"/>
          </w:tcPr>
          <w:p w14:paraId="47B72CA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dwelling units per building, growth management, growth control, growth rate, development approvals, minimum additional lot area</w:t>
            </w:r>
          </w:p>
        </w:tc>
        <w:tc>
          <w:tcPr>
            <w:tcW w:w="2169" w:type="dxa"/>
          </w:tcPr>
          <w:p w14:paraId="5938730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Restricted (1), allowable (1), limit (1), growth management (3), growth control (3), growth (1), scheduled development (1), maximum (2), no more (1), population (1), fixed (1), controlled (2), quota (2), moratorium (2), allocate (1), annual (1), year (1), cap (2), approved (1), calculation (1), dwelling units (1)</w:t>
            </w:r>
          </w:p>
        </w:tc>
        <w:tc>
          <w:tcPr>
            <w:tcW w:w="2057" w:type="dxa"/>
          </w:tcPr>
          <w:p w14:paraId="65A0EEFD"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Standard construction; we manually correct false positive flags for two municipalities (Orlando, FL;  Winstom-Salem, NC)</w:t>
            </w:r>
          </w:p>
        </w:tc>
      </w:tr>
      <w:tr w:rsidR="00644B7D" w:rsidRPr="00335032" w14:paraId="7D6F878A" w14:textId="77777777" w:rsidTr="00E7334F">
        <w:tc>
          <w:tcPr>
            <w:tcW w:w="1615" w:type="dxa"/>
          </w:tcPr>
          <w:p w14:paraId="33FBFCA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Minimum lot size</w:t>
            </w:r>
          </w:p>
        </w:tc>
        <w:tc>
          <w:tcPr>
            <w:tcW w:w="2961" w:type="dxa"/>
          </w:tcPr>
          <w:p w14:paraId="65181B4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lot area, lot size, lot, area of parcel, zoning district, residential zones, residential district, residential district r-1 residential district r-a, schedule of, residential r-2 district, residential r-3, district, residential r-4 district, dimension regulations, lot require, lot yard and density regulations, dimensional regulations, dimensional require, dimensional and density regulations, development standards, intensity of use, dimensional control, zone dwelling family size, intensity regulations, dimensional standards, dimension restrictions, parcel size, maximum density, density, minimum building site area, bulk and replacement',</w:t>
            </w:r>
          </w:p>
          <w:p w14:paraId="68DB951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maximum unit allowed, height and area regulations,  area and bulk schedule, area and bulk standards, district design require, height and area require, lot and bulk standards, height and lot require, area setback and height require, height area and yard require, bulk and area regulations, density schedule, dimensional table, height and yard require, bulk and yard regulations, spatial require, zoning district schedules, lot standards by zone, development regulations, lot dimension and intensity standards,</w:t>
            </w:r>
          </w:p>
          <w:p w14:paraId="4AF3577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density and bulk require, bulk regulations, bulk and placement regulations, minimum lot size per dwelling unit, bulk and coverage controls, bulk require, land space require, lot area frontage and yard require, yard and height require, lot standards matrix, area yard and height standards, area yard and height regulations, other dimensions and space require, area, yard and height regulations, bulk and area standards, development criteria district, zone standards,  height limit lot sizes and coverage, land use district and allowable uses, summary of zoning district require, bulk and setback regulations, residential bulk chart, bulk matrix, bulk yard and space require, residential uses and require, zoning district regulation chart, density regulations, standards for principal buildings on individual lots, lot and yard require, lot yard area and height require, area yard and height require, 'site dimensions, density dimensions and other standards, districts, density and intensity limit, bulk schedules</w:t>
            </w:r>
          </w:p>
        </w:tc>
        <w:tc>
          <w:tcPr>
            <w:tcW w:w="2169" w:type="dxa"/>
          </w:tcPr>
          <w:p w14:paraId="746F4E5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Minimum (3), lot size (2), lot area (2), lot (1), building area (2), acreage (2), shall be (1), require (1)</w:t>
            </w:r>
          </w:p>
          <w:p w14:paraId="6D1D3ED6" w14:textId="77777777" w:rsidR="00644B7D" w:rsidRPr="00335032" w:rsidRDefault="00644B7D" w:rsidP="00644B7D">
            <w:pPr>
              <w:rPr>
                <w:rFonts w:ascii="Times New Roman" w:eastAsia="Calibri" w:hAnsi="Times New Roman" w:cs="Times New Roman"/>
                <w:bCs/>
                <w:sz w:val="20"/>
                <w:szCs w:val="20"/>
              </w:rPr>
            </w:pPr>
          </w:p>
          <w:p w14:paraId="160092D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particular minimum lot sizes, match on the following terms: </w:t>
            </w:r>
          </w:p>
          <w:p w14:paraId="2F0E797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Acre, ac., ac, square feet, sf, s.f., sq.feet, sq ft, square, for each dwelling unit,</w:t>
            </w:r>
          </w:p>
          <w:p w14:paraId="595643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sq. feet, per dwelling unit</w:t>
            </w:r>
          </w:p>
          <w:p w14:paraId="5D5C5F6E" w14:textId="77777777" w:rsidR="00644B7D" w:rsidRPr="00335032" w:rsidRDefault="00644B7D" w:rsidP="00644B7D">
            <w:pPr>
              <w:rPr>
                <w:rFonts w:ascii="Times New Roman" w:eastAsia="Calibri" w:hAnsi="Times New Roman" w:cs="Times New Roman"/>
                <w:bCs/>
                <w:sz w:val="20"/>
                <w:szCs w:val="20"/>
              </w:rPr>
            </w:pPr>
          </w:p>
          <w:p w14:paraId="3BC5D46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Additional search terms for dimensional tables: minimum lot area per dwelling unit, area per dwelling unit, </w:t>
            </w:r>
          </w:p>
          <w:p w14:paraId="2F7169C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minimum lot area per family, minimum lot area per dwelling, </w:t>
            </w:r>
          </w:p>
          <w:p w14:paraId="2CF3B74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area per du, area of lot, area/du, </w:t>
            </w:r>
          </w:p>
          <w:p w14:paraId="1CCB23A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area per unit, lot area per unit, </w:t>
            </w:r>
          </w:p>
          <w:p w14:paraId="3823264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size, min. lot area, minimum lot area, minimum lot, lot minimums, lot area, </w:t>
            </w:r>
          </w:p>
          <w:p w14:paraId="3780CB5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size lot per unit, lot area minimum, </w:t>
            </w:r>
          </w:p>
          <w:p w14:paraId="63047B2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size lot, minimum size per zoning lot, lot size, area in square feet per additional family, square feet, square feet per dwelling unit, square feet/dwelling unit, square feet per additional family, area in square feet, </w:t>
            </w:r>
          </w:p>
          <w:p w14:paraId="3DF55EC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area, per family, per unit, minimum lot require, maximum density, single family, minimum parcel size, minimum net site area, lot areas</w:t>
            </w:r>
          </w:p>
          <w:p w14:paraId="09411F48" w14:textId="77777777" w:rsidR="00644B7D" w:rsidRPr="00335032" w:rsidRDefault="00644B7D" w:rsidP="00644B7D">
            <w:pPr>
              <w:rPr>
                <w:rFonts w:ascii="Times New Roman" w:eastAsia="Calibri" w:hAnsi="Times New Roman" w:cs="Times New Roman"/>
                <w:bCs/>
                <w:sz w:val="20"/>
                <w:szCs w:val="20"/>
              </w:rPr>
            </w:pPr>
          </w:p>
          <w:p w14:paraId="2259C8B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Additional search terms for in-text:</w:t>
            </w:r>
          </w:p>
          <w:p w14:paraId="69764A8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1 du/, 1 dwelling unit per, 1 dwelling per, 1 unit per x acres, </w:t>
            </w:r>
          </w:p>
          <w:p w14:paraId="7A17124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not less, no less, lot size, lot area, lot surface area, </w:t>
            </w:r>
          </w:p>
          <w:p w14:paraId="622464A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lot with septic, r-x residential, area:, 1 unit/ x acres, 1 unit to x acres, single family dwelling, </w:t>
            </w:r>
          </w:p>
          <w:p w14:paraId="29369CC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lot shall have an area of not less than, an area of not less than, zoning lots not less than, </w:t>
            </w:r>
          </w:p>
          <w:p w14:paraId="2F2A7CE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no zoning lot less than, 1 dwelling unit per existing lot, total area of each lot not less than, </w:t>
            </w:r>
          </w:p>
          <w:p w14:paraId="0C0588C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no lot shall be created which contains, in no </w:t>
            </w:r>
            <w:r w:rsidRPr="00335032">
              <w:rPr>
                <w:rFonts w:ascii="Times New Roman" w:eastAsia="Calibri" w:hAnsi="Times New Roman" w:cs="Times New Roman"/>
                <w:bCs/>
                <w:sz w:val="20"/>
                <w:szCs w:val="20"/>
              </w:rPr>
              <w:lastRenderedPageBreak/>
              <w:t xml:space="preserve">case will a lot be platted with less than, </w:t>
            </w:r>
          </w:p>
          <w:p w14:paraId="4B5BEC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residential dwelling unit on x acres, residential dwelling on x acres, land area per dwelling, shall contain at least, residential dwelling unit on x acres, residential dwelling on x acres</w:t>
            </w:r>
          </w:p>
          <w:p w14:paraId="20888C7A" w14:textId="77777777" w:rsidR="00644B7D" w:rsidRPr="00335032" w:rsidRDefault="00644B7D" w:rsidP="00644B7D">
            <w:pPr>
              <w:rPr>
                <w:rFonts w:ascii="Times New Roman" w:eastAsia="Calibri" w:hAnsi="Times New Roman" w:cs="Times New Roman"/>
                <w:bCs/>
                <w:sz w:val="20"/>
                <w:szCs w:val="20"/>
              </w:rPr>
            </w:pPr>
          </w:p>
        </w:tc>
        <w:tc>
          <w:tcPr>
            <w:tcW w:w="2057" w:type="dxa"/>
          </w:tcPr>
          <w:p w14:paraId="3181D71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For acres, matches above 5 are not allowed unless the context suggests the text refers to rural or agricultural districts, in which case matches of up to 50 acres are permitted. </w:t>
            </w:r>
          </w:p>
          <w:p w14:paraId="5D269FF2" w14:textId="77777777" w:rsidR="00644B7D" w:rsidRPr="00335032" w:rsidRDefault="00644B7D" w:rsidP="00644B7D">
            <w:pPr>
              <w:rPr>
                <w:rFonts w:ascii="Times New Roman" w:eastAsia="Calibri" w:hAnsi="Times New Roman" w:cs="Times New Roman"/>
                <w:bCs/>
                <w:sz w:val="20"/>
                <w:szCs w:val="20"/>
              </w:rPr>
            </w:pPr>
          </w:p>
          <w:p w14:paraId="2DD2DF0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For square feet, matches below 2,000 are not permitted, unless the context specifies a per-unit measure. Matches below 1,000 or above 217,800 are not permitted in any circumstance. If the context suggests the text refers to multi-</w:t>
            </w:r>
            <w:r w:rsidRPr="00335032">
              <w:rPr>
                <w:rFonts w:ascii="Times New Roman" w:eastAsia="Calibri" w:hAnsi="Times New Roman" w:cs="Times New Roman"/>
                <w:bCs/>
                <w:sz w:val="20"/>
                <w:szCs w:val="20"/>
              </w:rPr>
              <w:lastRenderedPageBreak/>
              <w:t xml:space="preserve">family housing, matches over 15,000 are not permitted. </w:t>
            </w:r>
          </w:p>
          <w:p w14:paraId="0DC300C3" w14:textId="77777777" w:rsidR="00644B7D" w:rsidRPr="00335032" w:rsidRDefault="00644B7D" w:rsidP="00644B7D">
            <w:pPr>
              <w:rPr>
                <w:rFonts w:ascii="Times New Roman" w:eastAsia="Calibri" w:hAnsi="Times New Roman" w:cs="Times New Roman"/>
                <w:bCs/>
                <w:sz w:val="20"/>
                <w:szCs w:val="20"/>
              </w:rPr>
            </w:pPr>
          </w:p>
          <w:p w14:paraId="0D00FDED" w14:textId="77777777" w:rsidR="00644B7D" w:rsidRPr="00335032" w:rsidRDefault="00644B7D" w:rsidP="00644B7D">
            <w:pPr>
              <w:rPr>
                <w:rFonts w:ascii="Times New Roman" w:eastAsia="Calibri" w:hAnsi="Times New Roman" w:cs="Times New Roman"/>
                <w:bCs/>
                <w:sz w:val="20"/>
                <w:szCs w:val="20"/>
              </w:rPr>
            </w:pPr>
          </w:p>
          <w:p w14:paraId="7A1A32B4" w14:textId="77777777" w:rsidR="00644B7D" w:rsidRPr="00335032" w:rsidRDefault="00644B7D" w:rsidP="00644B7D">
            <w:pPr>
              <w:rPr>
                <w:rFonts w:ascii="Times New Roman" w:eastAsia="Calibri" w:hAnsi="Times New Roman" w:cs="Times New Roman"/>
                <w:bCs/>
                <w:sz w:val="20"/>
                <w:szCs w:val="20"/>
              </w:rPr>
            </w:pPr>
          </w:p>
          <w:p w14:paraId="5A1819C7" w14:textId="77777777" w:rsidR="00644B7D" w:rsidRPr="00335032" w:rsidRDefault="00644B7D" w:rsidP="00644B7D">
            <w:pPr>
              <w:rPr>
                <w:rFonts w:ascii="Times New Roman" w:eastAsia="Calibri" w:hAnsi="Times New Roman" w:cs="Times New Roman"/>
                <w:bCs/>
                <w:sz w:val="20"/>
                <w:szCs w:val="20"/>
              </w:rPr>
            </w:pPr>
          </w:p>
          <w:p w14:paraId="69A1C0D4" w14:textId="77777777" w:rsidR="00644B7D" w:rsidRPr="00335032" w:rsidRDefault="00644B7D" w:rsidP="00644B7D">
            <w:pPr>
              <w:rPr>
                <w:rFonts w:ascii="Times New Roman" w:eastAsia="Calibri" w:hAnsi="Times New Roman" w:cs="Times New Roman"/>
                <w:bCs/>
                <w:sz w:val="20"/>
                <w:szCs w:val="20"/>
              </w:rPr>
            </w:pPr>
          </w:p>
        </w:tc>
      </w:tr>
      <w:tr w:rsidR="00644B7D" w:rsidRPr="00335032" w14:paraId="0D981F64" w14:textId="77777777" w:rsidTr="00E7334F">
        <w:tc>
          <w:tcPr>
            <w:tcW w:w="1615" w:type="dxa"/>
          </w:tcPr>
          <w:p w14:paraId="3AAFA30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Maximum permitted density</w:t>
            </w:r>
          </w:p>
        </w:tc>
        <w:tc>
          <w:tcPr>
            <w:tcW w:w="2961" w:type="dxa"/>
          </w:tcPr>
          <w:p w14:paraId="7F0D508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lot area, lot size, lot, multiple dwelling, zoning district, residential district, residential district r-1, height and lot require, zoning district schedules, residential district r-a, residential r-2 district, residential r-3 district, residential r-4 district, land area provide for each dwelling unit, dimensional table, dimension regulations, dimensional regulations, dimensional require, zone dwelling family size, lot yard and density regulations, area setback and height require, spatial require, dimensional and density regulations, intensity of use, dimensional controls, area and bulk standards, development standards, intensity regulations, dimensional standards, dimension restrictions, schedule of, maximum permitted residential density, maximum allowable residential density, maximum permitted density, maximum allowable density, maximum density, density, residential acreage dwelling unit, lot require, height and area regulations, height and yard require, height area and yard require, bulk yard and space require,</w:t>
            </w:r>
          </w:p>
          <w:p w14:paraId="3CD72BD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multi family, density schedule, maximum unit allowed, residential uses and require, acre\/dwelling unit, per dwelling unit, for each dwelling unit, bulk and replacement, dwelling unit per acre, square feet\/dwelling unit, unit\/net acre, district design require, height and area require, lot and bulk standards, bulk require, bulk and yard regulations, density regulations,</w:t>
            </w:r>
          </w:p>
          <w:p w14:paraId="25BA17B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bulk and area regulations, lot standards by zone, summary of zoning district require, development regulations, lot dimension and intensity standards, density and bulk require, bulk regulations, bulk and placement regulations, minimum lot size per dwelling unit, land space require, lot area frontage and yard require, yard and height require, lot standards matrix, area yard and height standards, area yard and height regulations, bulk and coverage controls, density dimensions and other standards, other dimensions and space require, area, yard and height regulations, bulk and area standards, development criteria district, zone standards, height limit lot sizes and coverage, land use district and allowable uses, zoning district regulation chart, site dimensions, bulk and setback regulations, residential bulk chart, bulk matrix, standards for principal buildings on individual lots, area and bulk schedule, lot and yard require, lot yard area and height require, area yard and height require, districts:, density and intensity limit, bulk schedules</w:t>
            </w:r>
          </w:p>
        </w:tc>
        <w:tc>
          <w:tcPr>
            <w:tcW w:w="2169" w:type="dxa"/>
          </w:tcPr>
          <w:p w14:paraId="6F2DD42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For particular maximum permitted densities, match on the following terms: </w:t>
            </w:r>
          </w:p>
          <w:p w14:paraId="4C30A6DF" w14:textId="77777777" w:rsidR="00644B7D" w:rsidRPr="00335032" w:rsidRDefault="00644B7D" w:rsidP="00644B7D">
            <w:pPr>
              <w:rPr>
                <w:rFonts w:ascii="Times New Roman" w:eastAsia="Calibri" w:hAnsi="Times New Roman" w:cs="Times New Roman"/>
                <w:bCs/>
                <w:sz w:val="20"/>
                <w:szCs w:val="20"/>
              </w:rPr>
            </w:pPr>
          </w:p>
          <w:p w14:paraId="017E969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Dwelling unit per net acre, unit per net acre, dwelling unit per acre, dwelling unit per each 1 net acre, dwelling unit per acre, unit per acre, unit/net acre, unit per gross acre, unit per net platted acre, du/gross acre, maximum dwelling unit per structure, maximum dwelling unit per gross acre, density per acre, maximum dwelling unit per buildable acre, up to x units,  up to x dwelling units, square feet/du, x dwelling units, dwelling per gross acre, minimum number of unit, dwelling unit, dua</w:t>
            </w:r>
          </w:p>
          <w:p w14:paraId="70644066" w14:textId="77777777" w:rsidR="00644B7D" w:rsidRPr="00335032" w:rsidRDefault="00644B7D" w:rsidP="00644B7D">
            <w:pPr>
              <w:rPr>
                <w:rFonts w:ascii="Times New Roman" w:eastAsia="Calibri" w:hAnsi="Times New Roman" w:cs="Times New Roman"/>
                <w:bCs/>
                <w:sz w:val="20"/>
                <w:szCs w:val="20"/>
              </w:rPr>
            </w:pPr>
          </w:p>
          <w:p w14:paraId="51077A92" w14:textId="77777777" w:rsidR="00644B7D" w:rsidRPr="00335032" w:rsidRDefault="00644B7D" w:rsidP="00644B7D">
            <w:pPr>
              <w:rPr>
                <w:rFonts w:ascii="Times New Roman" w:eastAsia="Calibri" w:hAnsi="Times New Roman" w:cs="Times New Roman"/>
                <w:bCs/>
                <w:sz w:val="20"/>
                <w:szCs w:val="20"/>
              </w:rPr>
            </w:pPr>
          </w:p>
          <w:p w14:paraId="26F61F9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Additional search terms for dimensional tables:</w:t>
            </w:r>
          </w:p>
          <w:p w14:paraId="4B27851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density, maximum net density</w:t>
            </w:r>
          </w:p>
          <w:p w14:paraId="46292F33" w14:textId="77777777" w:rsidR="00644B7D" w:rsidRPr="00335032" w:rsidRDefault="00644B7D" w:rsidP="00644B7D">
            <w:pPr>
              <w:rPr>
                <w:rFonts w:ascii="Times New Roman" w:eastAsia="Calibri" w:hAnsi="Times New Roman" w:cs="Times New Roman"/>
                <w:b/>
                <w:sz w:val="20"/>
                <w:szCs w:val="20"/>
              </w:rPr>
            </w:pPr>
          </w:p>
        </w:tc>
        <w:tc>
          <w:tcPr>
            <w:tcW w:w="2057" w:type="dxa"/>
          </w:tcPr>
          <w:p w14:paraId="350496B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square feet, matches below 2,000 are not permitted, unless the context specifies a per-unit measure. Matches below 380 are not permitted in any circumstance. If the context suggests the text refers to multi-family housing, matches over 15,000 are not permitted. </w:t>
            </w:r>
          </w:p>
          <w:p w14:paraId="0C15ABA4" w14:textId="77777777" w:rsidR="00644B7D" w:rsidRPr="00335032" w:rsidRDefault="00644B7D" w:rsidP="00644B7D">
            <w:pPr>
              <w:rPr>
                <w:rFonts w:ascii="Times New Roman" w:eastAsia="Calibri" w:hAnsi="Times New Roman" w:cs="Times New Roman"/>
                <w:bCs/>
                <w:sz w:val="20"/>
                <w:szCs w:val="20"/>
              </w:rPr>
            </w:pPr>
          </w:p>
          <w:p w14:paraId="366673E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units per acre, matches above 165 are not permitted. </w:t>
            </w:r>
          </w:p>
          <w:p w14:paraId="1379C0D6" w14:textId="77777777" w:rsidR="00644B7D" w:rsidRPr="00335032" w:rsidRDefault="00644B7D" w:rsidP="00644B7D">
            <w:pPr>
              <w:rPr>
                <w:rFonts w:ascii="Times New Roman" w:eastAsia="Calibri" w:hAnsi="Times New Roman" w:cs="Times New Roman"/>
                <w:b/>
                <w:sz w:val="20"/>
                <w:szCs w:val="20"/>
              </w:rPr>
            </w:pPr>
          </w:p>
          <w:p w14:paraId="40E789A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If no maximum permitted density information is collected, the information is imputed from minimum lot size information.</w:t>
            </w:r>
          </w:p>
        </w:tc>
      </w:tr>
      <w:tr w:rsidR="00644B7D" w:rsidRPr="00335032" w14:paraId="528CD3D4" w14:textId="77777777" w:rsidTr="00E7334F">
        <w:tc>
          <w:tcPr>
            <w:tcW w:w="1615" w:type="dxa"/>
          </w:tcPr>
          <w:p w14:paraId="1FF8E56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Open space requirements</w:t>
            </w:r>
          </w:p>
        </w:tc>
        <w:tc>
          <w:tcPr>
            <w:tcW w:w="2961" w:type="dxa"/>
          </w:tcPr>
          <w:p w14:paraId="2A8511A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Open space</w:t>
            </w:r>
          </w:p>
        </w:tc>
        <w:tc>
          <w:tcPr>
            <w:tcW w:w="2169" w:type="dxa"/>
          </w:tcPr>
          <w:p w14:paraId="4E033C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open space (2), at least (1), no less (1), minimum amount (1), minimum of (1), percent (1), in lieu (1.5), set aside (1), pay (1), fee (1), preserve (1), require amount (1.5), require (1), contribute (1), dedicate (1), reserve (1), provide (1), devoted (1) </w:t>
            </w:r>
          </w:p>
        </w:tc>
        <w:tc>
          <w:tcPr>
            <w:tcW w:w="2057" w:type="dxa"/>
          </w:tcPr>
          <w:p w14:paraId="6D28D55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Standard construction</w:t>
            </w:r>
          </w:p>
        </w:tc>
      </w:tr>
      <w:tr w:rsidR="00644B7D" w:rsidRPr="00335032" w14:paraId="4C0E0DF2" w14:textId="77777777" w:rsidTr="00E7334F">
        <w:tc>
          <w:tcPr>
            <w:tcW w:w="1615" w:type="dxa"/>
          </w:tcPr>
          <w:p w14:paraId="7FA73D7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Inclusionary zoning programs</w:t>
            </w:r>
          </w:p>
        </w:tc>
        <w:tc>
          <w:tcPr>
            <w:tcW w:w="2961" w:type="dxa"/>
          </w:tcPr>
          <w:p w14:paraId="4DEDC2B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Inclusionary, affordable, mixed income housing, low cost housing</w:t>
            </w:r>
          </w:p>
        </w:tc>
        <w:tc>
          <w:tcPr>
            <w:tcW w:w="2169" w:type="dxa"/>
          </w:tcPr>
          <w:p w14:paraId="3553C13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Inclusionary (3), affordable (3), affordability (2), mixed income housing (2.5) nonprofit housing (2.5) workforce housing (2.5), low cost housing (2.5), set aside (2),in lieu (2), defer (2), waive (2), waiver (2), impact fee (2), housing </w:t>
            </w:r>
            <w:r w:rsidRPr="00335032">
              <w:rPr>
                <w:rFonts w:ascii="Times New Roman" w:eastAsia="Calibri" w:hAnsi="Times New Roman" w:cs="Times New Roman"/>
                <w:bCs/>
                <w:sz w:val="20"/>
                <w:szCs w:val="20"/>
              </w:rPr>
              <w:lastRenderedPageBreak/>
              <w:t>fee (2), density bonus (2.5), density bonuses (2.5), increase in density (2.5), density may be increased (2.5), additional densities (2.5), density increases (2.5), above the base density (2.5), height increase (2.5), require (1), reserve (1), refund (1), exempt (2),shall not apply (2), unit per acre (2), shall not be required (2), incentives (2), taxation (1), payments (1), parking (1), space per dwelling unit (0.5), additional (1), height (1.5), at least (1.5), deed restricted (1), percent (1)</w:t>
            </w:r>
          </w:p>
        </w:tc>
        <w:tc>
          <w:tcPr>
            <w:tcW w:w="2057" w:type="dxa"/>
          </w:tcPr>
          <w:p w14:paraId="692859E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61E45D35" w14:textId="77777777" w:rsidTr="00E7334F">
        <w:tc>
          <w:tcPr>
            <w:tcW w:w="1615" w:type="dxa"/>
          </w:tcPr>
          <w:p w14:paraId="5239CF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approval – no rezoning</w:t>
            </w:r>
          </w:p>
        </w:tc>
        <w:tc>
          <w:tcPr>
            <w:tcW w:w="2961" w:type="dxa"/>
          </w:tcPr>
          <w:p w14:paraId="0EDF681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town council, village council, village board, township council, the council, board of aldermen, city commission, borough council, board of selectmen, board of supervisors, governing body, board of commissioners, board of mayor and aldermen, mayor and council, board of trustees</w:t>
            </w:r>
          </w:p>
        </w:tc>
        <w:tc>
          <w:tcPr>
            <w:tcW w:w="2169" w:type="dxa"/>
          </w:tcPr>
          <w:p w14:paraId="2BA85BC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w:t>
            </w:r>
            <w:r w:rsidRPr="00335032">
              <w:rPr>
                <w:rFonts w:ascii="Times New Roman" w:eastAsia="Calibri" w:hAnsi="Times New Roman" w:cs="Times New Roman"/>
                <w:bCs/>
                <w:sz w:val="20"/>
                <w:szCs w:val="20"/>
              </w:rPr>
              <w:lastRenderedPageBreak/>
              <w:t>(1), fee schedule (-1), schedule of fees (-1)</w:t>
            </w:r>
          </w:p>
        </w:tc>
        <w:tc>
          <w:tcPr>
            <w:tcW w:w="2057" w:type="dxa"/>
          </w:tcPr>
          <w:p w14:paraId="74D6721B"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2158E7C1" w14:textId="77777777" w:rsidTr="00E7334F">
        <w:tc>
          <w:tcPr>
            <w:tcW w:w="1615" w:type="dxa"/>
          </w:tcPr>
          <w:p w14:paraId="10D8AD9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commission approval – no rezoning</w:t>
            </w:r>
          </w:p>
        </w:tc>
        <w:tc>
          <w:tcPr>
            <w:tcW w:w="2961" w:type="dxa"/>
          </w:tcPr>
          <w:p w14:paraId="6387826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board, planning commission, planning and zoning commission, planning and zoning board, planning and appeals commission, plan commission, planning and sustainability commission, redevelopment board, zoning commission, land use board, the commission, metropolitan development commission, development commission</w:t>
            </w:r>
          </w:p>
        </w:tc>
        <w:tc>
          <w:tcPr>
            <w:tcW w:w="2169" w:type="dxa"/>
          </w:tcPr>
          <w:p w14:paraId="60A32E8B"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6F3D650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6D614D67" w14:textId="77777777" w:rsidTr="00E7334F">
        <w:tc>
          <w:tcPr>
            <w:tcW w:w="1615" w:type="dxa"/>
          </w:tcPr>
          <w:p w14:paraId="6ABF8B7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approval – no rezoning</w:t>
            </w:r>
          </w:p>
        </w:tc>
        <w:tc>
          <w:tcPr>
            <w:tcW w:w="2961" w:type="dxa"/>
          </w:tcPr>
          <w:p w14:paraId="515712F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of commissioners, county board, county commissioners, county board of supervisors, county commission, county council, parish board of commissioners, parish board, parish commissioners, parish board of supervisors, parish commission, parish council, board of freeholders, board of chosen freeholders</w:t>
            </w:r>
          </w:p>
        </w:tc>
        <w:tc>
          <w:tcPr>
            <w:tcW w:w="2169" w:type="dxa"/>
          </w:tcPr>
          <w:p w14:paraId="147FCF20"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w:t>
            </w:r>
            <w:r w:rsidRPr="00335032">
              <w:rPr>
                <w:rFonts w:ascii="Times New Roman" w:eastAsia="Calibri" w:hAnsi="Times New Roman" w:cs="Times New Roman"/>
                <w:bCs/>
                <w:sz w:val="20"/>
                <w:szCs w:val="20"/>
              </w:rPr>
              <w:lastRenderedPageBreak/>
              <w:t>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0639AAF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4191DE84" w14:textId="77777777" w:rsidTr="00E7334F">
        <w:tc>
          <w:tcPr>
            <w:tcW w:w="1615" w:type="dxa"/>
          </w:tcPr>
          <w:p w14:paraId="48E349A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Public health board approval – no rezoning</w:t>
            </w:r>
          </w:p>
        </w:tc>
        <w:tc>
          <w:tcPr>
            <w:tcW w:w="2961" w:type="dxa"/>
          </w:tcPr>
          <w:p w14:paraId="528E42F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health department, department of health, public health board, public health commission</w:t>
            </w:r>
          </w:p>
        </w:tc>
        <w:tc>
          <w:tcPr>
            <w:tcW w:w="2169" w:type="dxa"/>
          </w:tcPr>
          <w:p w14:paraId="36ACFF9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25D6EEB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48141176" w14:textId="77777777" w:rsidTr="00E7334F">
        <w:tc>
          <w:tcPr>
            <w:tcW w:w="1615" w:type="dxa"/>
          </w:tcPr>
          <w:p w14:paraId="1412529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Design review board approval – no rezoning</w:t>
            </w:r>
          </w:p>
        </w:tc>
        <w:tc>
          <w:tcPr>
            <w:tcW w:w="2961" w:type="dxa"/>
          </w:tcPr>
          <w:p w14:paraId="1DF6F5C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site plan and architectural review board, site plan and architectural review commission, site plan and architectural review committee,</w:t>
            </w:r>
          </w:p>
          <w:p w14:paraId="26405A8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architectural review board, architectural review commission, architectural review committee,</w:t>
            </w:r>
          </w:p>
          <w:p w14:paraId="0DDD57C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site plan review board, site plan review commission, site plan review committee, design review board, design review commission, design review committee, design board, design commission, design committee, development review board, development review commission, development review committee, visual resources review board</w:t>
            </w:r>
          </w:p>
        </w:tc>
        <w:tc>
          <w:tcPr>
            <w:tcW w:w="2169" w:type="dxa"/>
          </w:tcPr>
          <w:p w14:paraId="7F7CBD8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6F812277"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3E2BAF8F" w14:textId="77777777" w:rsidTr="00E7334F">
        <w:tc>
          <w:tcPr>
            <w:tcW w:w="1615" w:type="dxa"/>
          </w:tcPr>
          <w:p w14:paraId="44EEBAC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approval – no rezoning</w:t>
            </w:r>
          </w:p>
        </w:tc>
        <w:tc>
          <w:tcPr>
            <w:tcW w:w="2961" w:type="dxa"/>
          </w:tcPr>
          <w:p w14:paraId="158129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environmental review committee, environmental commission, environmental impact review board, environmental impact review committee, environmental review advisory board, environmental review advisory committee, environmental assessment board, environmental assessment committee</w:t>
            </w:r>
          </w:p>
        </w:tc>
        <w:tc>
          <w:tcPr>
            <w:tcW w:w="2169" w:type="dxa"/>
          </w:tcPr>
          <w:p w14:paraId="1726F98E"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w:t>
            </w:r>
            <w:r w:rsidRPr="00335032">
              <w:rPr>
                <w:rFonts w:ascii="Times New Roman" w:eastAsia="Calibri" w:hAnsi="Times New Roman" w:cs="Times New Roman"/>
                <w:bCs/>
                <w:sz w:val="20"/>
                <w:szCs w:val="20"/>
              </w:rPr>
              <w:lastRenderedPageBreak/>
              <w:t>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4D407DEC"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7C79D674" w14:textId="77777777" w:rsidTr="00E7334F">
        <w:tc>
          <w:tcPr>
            <w:tcW w:w="1615" w:type="dxa"/>
          </w:tcPr>
          <w:p w14:paraId="2CFADF3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approval – rezoning</w:t>
            </w:r>
          </w:p>
        </w:tc>
        <w:tc>
          <w:tcPr>
            <w:tcW w:w="2961" w:type="dxa"/>
          </w:tcPr>
          <w:p w14:paraId="2F51E16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town council, village council, village board, township council, the council, board of aldermen, city commission, borough council, board of selectmen, board of supervisors, governing body, board of commissioners, board of mayor and aldermen, mayor and council, board of trustees</w:t>
            </w:r>
          </w:p>
        </w:tc>
        <w:tc>
          <w:tcPr>
            <w:tcW w:w="2169" w:type="dxa"/>
          </w:tcPr>
          <w:p w14:paraId="7341DF0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4115CD8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1581CAD" w14:textId="77777777" w:rsidTr="00E7334F">
        <w:tc>
          <w:tcPr>
            <w:tcW w:w="1615" w:type="dxa"/>
          </w:tcPr>
          <w:p w14:paraId="6925255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commission approval – rezoning</w:t>
            </w:r>
          </w:p>
        </w:tc>
        <w:tc>
          <w:tcPr>
            <w:tcW w:w="2961" w:type="dxa"/>
          </w:tcPr>
          <w:p w14:paraId="5117392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board, planning commission, planning and zoning commission, planning and zoning board, planning and appeals commission, plan commission, planning and sustainability commission, redevelopment board, zoning commission, land use board, the commission, metropolitan development commission, development commission</w:t>
            </w:r>
          </w:p>
        </w:tc>
        <w:tc>
          <w:tcPr>
            <w:tcW w:w="2169" w:type="dxa"/>
          </w:tcPr>
          <w:p w14:paraId="02F76063"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67396EA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545DF560" w14:textId="77777777" w:rsidTr="00E7334F">
        <w:tc>
          <w:tcPr>
            <w:tcW w:w="1615" w:type="dxa"/>
          </w:tcPr>
          <w:p w14:paraId="4C50CEF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Zoning board approval – rezoning</w:t>
            </w:r>
          </w:p>
        </w:tc>
        <w:tc>
          <w:tcPr>
            <w:tcW w:w="2961" w:type="dxa"/>
          </w:tcPr>
          <w:p w14:paraId="531FF94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zoning board, board of zoning appeals, board of appeals, board of appeal, board of adjustment and appeals, board of adjustment, zoning hearing board, adjustment </w:t>
            </w:r>
            <w:r w:rsidRPr="00335032">
              <w:rPr>
                <w:rFonts w:ascii="Times New Roman" w:eastAsia="Calibri" w:hAnsi="Times New Roman" w:cs="Times New Roman"/>
                <w:bCs/>
                <w:sz w:val="20"/>
                <w:szCs w:val="20"/>
              </w:rPr>
              <w:lastRenderedPageBreak/>
              <w:t>board, adjustment commission, adjustment committee</w:t>
            </w:r>
          </w:p>
        </w:tc>
        <w:tc>
          <w:tcPr>
            <w:tcW w:w="2169" w:type="dxa"/>
          </w:tcPr>
          <w:p w14:paraId="0CABBB38"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 xml:space="preserve">Amendment (2.5), amend (2.5), amended (2.5), variance (2.5), variation (2.5), special exception permit (2.5), rezoning (2.5), type iv* </w:t>
            </w:r>
            <w:r w:rsidRPr="00335032">
              <w:rPr>
                <w:rFonts w:ascii="Times New Roman" w:eastAsia="Calibri" w:hAnsi="Times New Roman" w:cs="Times New Roman"/>
                <w:bCs/>
                <w:sz w:val="20"/>
                <w:szCs w:val="20"/>
              </w:rPr>
              <w:lastRenderedPageBreak/>
              <w:t>(2), type 4 (2), application (1), public hearing (2), approve (1), grant (1), provide (1), authorize (1), recommend (1), recommendations (1), final action (1), take action (1), fee schedule (-1), schedule of fees (-1)</w:t>
            </w:r>
          </w:p>
        </w:tc>
        <w:tc>
          <w:tcPr>
            <w:tcW w:w="2057" w:type="dxa"/>
          </w:tcPr>
          <w:p w14:paraId="333A085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52C155D7" w14:textId="77777777" w:rsidTr="00E7334F">
        <w:tc>
          <w:tcPr>
            <w:tcW w:w="1615" w:type="dxa"/>
          </w:tcPr>
          <w:p w14:paraId="339B379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approval – rezoning</w:t>
            </w:r>
          </w:p>
        </w:tc>
        <w:tc>
          <w:tcPr>
            <w:tcW w:w="2961" w:type="dxa"/>
          </w:tcPr>
          <w:p w14:paraId="64AFB1C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of commissioners, county board, county commissioners, county board of supervisors, county commission, county council, parish board of commissioners, parish board, parish commissioners, parish board of supervisors, parish commission, parish council, board of freeholders, board of chosen freeholders</w:t>
            </w:r>
          </w:p>
        </w:tc>
        <w:tc>
          <w:tcPr>
            <w:tcW w:w="2169" w:type="dxa"/>
          </w:tcPr>
          <w:p w14:paraId="4343318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03CFB78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4045A00C" w14:textId="77777777" w:rsidTr="00E7334F">
        <w:tc>
          <w:tcPr>
            <w:tcW w:w="1615" w:type="dxa"/>
          </w:tcPr>
          <w:p w14:paraId="5E070D1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zoning authority</w:t>
            </w:r>
          </w:p>
        </w:tc>
        <w:tc>
          <w:tcPr>
            <w:tcW w:w="2961" w:type="dxa"/>
          </w:tcPr>
          <w:p w14:paraId="4F8E327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zoning board', county zoning commission', county planning board, parish zoning board, parish zoning commission,  parish planning board</w:t>
            </w:r>
          </w:p>
        </w:tc>
        <w:tc>
          <w:tcPr>
            <w:tcW w:w="2169" w:type="dxa"/>
          </w:tcPr>
          <w:p w14:paraId="1D3252BA"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2E9C6118"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24E66C3" w14:textId="77777777" w:rsidTr="00E7334F">
        <w:tc>
          <w:tcPr>
            <w:tcW w:w="1615" w:type="dxa"/>
          </w:tcPr>
          <w:p w14:paraId="4A19CD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Town meeting approval – rezoning</w:t>
            </w:r>
          </w:p>
        </w:tc>
        <w:tc>
          <w:tcPr>
            <w:tcW w:w="2961" w:type="dxa"/>
          </w:tcPr>
          <w:p w14:paraId="5AE957C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Town meeting</w:t>
            </w:r>
          </w:p>
        </w:tc>
        <w:tc>
          <w:tcPr>
            <w:tcW w:w="2169" w:type="dxa"/>
          </w:tcPr>
          <w:p w14:paraId="44D9876C"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Amendment (2.5), amend (2.5), amended (2.5), variance (2.5), variation (2.5), special exception permit (2.5), rezoning (2.5), type iv* (2), type 4 (2), application (1), public hearing (2), approve (1), grant (1), provide (1), authorize (1), </w:t>
            </w:r>
            <w:r w:rsidRPr="00335032">
              <w:rPr>
                <w:rFonts w:ascii="Times New Roman" w:eastAsia="Calibri" w:hAnsi="Times New Roman" w:cs="Times New Roman"/>
                <w:bCs/>
                <w:sz w:val="20"/>
                <w:szCs w:val="20"/>
              </w:rPr>
              <w:lastRenderedPageBreak/>
              <w:t>recommend (1), recommendations (1), final action (1), take action (1), fee schedule (-1), schedule of fees (-1)</w:t>
            </w:r>
          </w:p>
        </w:tc>
        <w:tc>
          <w:tcPr>
            <w:tcW w:w="2057" w:type="dxa"/>
          </w:tcPr>
          <w:p w14:paraId="682D060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22401138" w14:textId="77777777" w:rsidTr="00E7334F">
        <w:tc>
          <w:tcPr>
            <w:tcW w:w="1615" w:type="dxa"/>
          </w:tcPr>
          <w:p w14:paraId="34C8FD3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approval – rezoning</w:t>
            </w:r>
          </w:p>
        </w:tc>
        <w:tc>
          <w:tcPr>
            <w:tcW w:w="2961" w:type="dxa"/>
          </w:tcPr>
          <w:p w14:paraId="1DA7E20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environmental review committee, environmental commission, environmental impact review board, environmental impact review committee, environmental review advisory board, environmental review advisory committee, environmental assessment board, environmental assessment committee</w:t>
            </w:r>
          </w:p>
        </w:tc>
        <w:tc>
          <w:tcPr>
            <w:tcW w:w="2169" w:type="dxa"/>
          </w:tcPr>
          <w:p w14:paraId="4C980535"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7F0C9F1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6CFEE7F1" w14:textId="77777777" w:rsidTr="00E7334F">
        <w:tc>
          <w:tcPr>
            <w:tcW w:w="1615" w:type="dxa"/>
          </w:tcPr>
          <w:p w14:paraId="0EE15F7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ADU</w:t>
            </w:r>
          </w:p>
        </w:tc>
        <w:tc>
          <w:tcPr>
            <w:tcW w:w="2961" w:type="dxa"/>
          </w:tcPr>
          <w:p w14:paraId="77194FE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accessory dwelling unit, accessory dwelling units, accessory apartment, accessory apartments, accessory dwelling, accessory dwellings, accessory suite, accessory suites, ancillary unit, ancillary units, basement apartment, basement apartments,</w:t>
            </w:r>
          </w:p>
          <w:p w14:paraId="211BE0D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carriage house, carriage homes, carriage houses, carriage homes,</w:t>
            </w:r>
          </w:p>
          <w:p w14:paraId="458D2BF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garden cottage, garden cottages, granny cottage, granny cottages, granny unit, granny units, secondary suite, secondary suites, granny flat, granny flats, guest house, guest houses, backyard cottage, backyard cottages, in-law unit, in-law units, in-law suite, in-law suites, in-law flat, in-law flats, secondary unit, secondary units, secondary dwelling unit, secondary dwelling units, laneway house laneway houses, secondary dwelling unit, secondary dwelling units</w:t>
            </w:r>
          </w:p>
        </w:tc>
        <w:tc>
          <w:tcPr>
            <w:tcW w:w="2169" w:type="dxa"/>
          </w:tcPr>
          <w:p w14:paraId="53DC5B6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Permitted (5.5), permit (5.5), p (5.5), shall be (2.5), containing (1.5), detached (1), attached (1), free-standing (1)</w:t>
            </w:r>
          </w:p>
        </w:tc>
        <w:tc>
          <w:tcPr>
            <w:tcW w:w="2057" w:type="dxa"/>
          </w:tcPr>
          <w:p w14:paraId="47AA5801"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25845A1" w14:textId="77777777" w:rsidTr="00E7334F">
        <w:tc>
          <w:tcPr>
            <w:tcW w:w="1615" w:type="dxa"/>
          </w:tcPr>
          <w:p w14:paraId="0A14F0A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Maximum permitted height</w:t>
            </w:r>
          </w:p>
        </w:tc>
        <w:tc>
          <w:tcPr>
            <w:tcW w:w="2961" w:type="dxa"/>
          </w:tcPr>
          <w:p w14:paraId="60600F8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maximum height, building height, height</w:t>
            </w:r>
          </w:p>
        </w:tc>
        <w:tc>
          <w:tcPr>
            <w:tcW w:w="2169" w:type="dxa"/>
          </w:tcPr>
          <w:p w14:paraId="603F987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For particular building heights, match on the following terms: feet, ft, stories, story</w:t>
            </w:r>
          </w:p>
          <w:p w14:paraId="02C9B7F9" w14:textId="77777777" w:rsidR="00644B7D" w:rsidRPr="00335032" w:rsidRDefault="00644B7D" w:rsidP="00644B7D">
            <w:pPr>
              <w:rPr>
                <w:rFonts w:ascii="Times New Roman" w:eastAsia="Calibri" w:hAnsi="Times New Roman" w:cs="Times New Roman"/>
                <w:bCs/>
                <w:sz w:val="20"/>
                <w:szCs w:val="20"/>
              </w:rPr>
            </w:pPr>
          </w:p>
          <w:p w14:paraId="0FA386A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Additional search terms for dimensional tables: </w:t>
            </w:r>
          </w:p>
          <w:p w14:paraId="0F717B2E" w14:textId="77777777" w:rsidR="00644B7D" w:rsidRPr="00335032" w:rsidRDefault="00644B7D" w:rsidP="00644B7D">
            <w:pPr>
              <w:rPr>
                <w:rFonts w:ascii="Times New Roman" w:eastAsia="Calibri" w:hAnsi="Times New Roman" w:cs="Times New Roman"/>
                <w:bCs/>
                <w:sz w:val="20"/>
                <w:szCs w:val="20"/>
              </w:rPr>
            </w:pPr>
          </w:p>
          <w:p w14:paraId="0F8F5B4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lastRenderedPageBreak/>
              <w:t>Maximum height, building height, maximum bldg. height, height, max ht, principal, feet, stories</w:t>
            </w:r>
          </w:p>
          <w:p w14:paraId="09AD2B74" w14:textId="77777777" w:rsidR="00644B7D" w:rsidRPr="00335032" w:rsidRDefault="00644B7D" w:rsidP="00644B7D">
            <w:pPr>
              <w:rPr>
                <w:rFonts w:ascii="Times New Roman" w:eastAsia="Calibri" w:hAnsi="Times New Roman" w:cs="Times New Roman"/>
                <w:bCs/>
                <w:sz w:val="20"/>
                <w:szCs w:val="20"/>
              </w:rPr>
            </w:pPr>
          </w:p>
          <w:p w14:paraId="5368BC42" w14:textId="77777777" w:rsidR="00644B7D" w:rsidRPr="00335032" w:rsidRDefault="00644B7D" w:rsidP="00644B7D">
            <w:pPr>
              <w:rPr>
                <w:rFonts w:ascii="Times New Roman" w:eastAsia="Calibri" w:hAnsi="Times New Roman" w:cs="Times New Roman"/>
                <w:bCs/>
                <w:sz w:val="20"/>
                <w:szCs w:val="20"/>
              </w:rPr>
            </w:pPr>
          </w:p>
          <w:p w14:paraId="740B15E0" w14:textId="77777777" w:rsidR="00644B7D" w:rsidRPr="00335032" w:rsidRDefault="00644B7D" w:rsidP="00644B7D">
            <w:pPr>
              <w:rPr>
                <w:rFonts w:ascii="Times New Roman" w:eastAsia="Calibri" w:hAnsi="Times New Roman" w:cs="Times New Roman"/>
                <w:b/>
                <w:sz w:val="20"/>
                <w:szCs w:val="20"/>
              </w:rPr>
            </w:pPr>
          </w:p>
        </w:tc>
        <w:tc>
          <w:tcPr>
            <w:tcW w:w="2057" w:type="dxa"/>
          </w:tcPr>
          <w:p w14:paraId="685333C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Matches below 10 feet are not permitted. Matches above 165 feet are not permitted in the case of searching dimensional tables.</w:t>
            </w:r>
          </w:p>
          <w:p w14:paraId="5AF62771" w14:textId="77777777" w:rsidR="00644B7D" w:rsidRPr="00335032" w:rsidRDefault="00644B7D" w:rsidP="00644B7D">
            <w:pPr>
              <w:rPr>
                <w:rFonts w:ascii="Times New Roman" w:eastAsia="Calibri" w:hAnsi="Times New Roman" w:cs="Times New Roman"/>
                <w:bCs/>
                <w:sz w:val="20"/>
                <w:szCs w:val="20"/>
              </w:rPr>
            </w:pPr>
          </w:p>
          <w:p w14:paraId="30540533"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Matches for stories are limited to 50 (format A) and 100 (format B) for dimensional tables.</w:t>
            </w:r>
          </w:p>
        </w:tc>
      </w:tr>
      <w:tr w:rsidR="00644B7D" w:rsidRPr="00335032" w14:paraId="2FEEDF98" w14:textId="77777777" w:rsidTr="00E7334F">
        <w:tc>
          <w:tcPr>
            <w:tcW w:w="1615" w:type="dxa"/>
          </w:tcPr>
          <w:p w14:paraId="2F73EB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Minimum parking requirements</w:t>
            </w:r>
          </w:p>
        </w:tc>
        <w:tc>
          <w:tcPr>
            <w:tcW w:w="2961" w:type="dxa"/>
          </w:tcPr>
          <w:p w14:paraId="0D237DE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parking spots, parking spaces, parking, off-street spaces require,</w:t>
            </w:r>
          </w:p>
          <w:p w14:paraId="25A17E1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minimum parking require, minimum spaces require, vehicle, one space for</w:t>
            </w:r>
          </w:p>
        </w:tc>
        <w:tc>
          <w:tcPr>
            <w:tcW w:w="2169" w:type="dxa"/>
          </w:tcPr>
          <w:p w14:paraId="3F6E8E7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For particular parking requirements match on the following terms:</w:t>
            </w:r>
          </w:p>
          <w:p w14:paraId="0F5C7D32" w14:textId="77777777" w:rsidR="00644B7D" w:rsidRPr="00335032" w:rsidRDefault="00644B7D" w:rsidP="00644B7D">
            <w:pPr>
              <w:rPr>
                <w:rFonts w:ascii="Times New Roman" w:eastAsia="Calibri" w:hAnsi="Times New Roman" w:cs="Times New Roman"/>
                <w:bCs/>
                <w:sz w:val="20"/>
                <w:szCs w:val="20"/>
              </w:rPr>
            </w:pPr>
          </w:p>
          <w:p w14:paraId="6A3B945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parking space, parking spaces, parking spot, parking spots, parking, guest space, per du, per dwelling unit, per unit, minimum parking require, for each dwelling unit, for every dwelling unit, for each apartment, minimum spaces require, for each family, spaces</w:t>
            </w:r>
          </w:p>
        </w:tc>
        <w:tc>
          <w:tcPr>
            <w:tcW w:w="2057" w:type="dxa"/>
          </w:tcPr>
          <w:p w14:paraId="0AB6E21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Matches above 10 parking spaces per unit are not allowed.</w:t>
            </w:r>
          </w:p>
          <w:p w14:paraId="250D4CD3" w14:textId="77777777" w:rsidR="00644B7D" w:rsidRPr="00335032" w:rsidRDefault="00644B7D" w:rsidP="00644B7D">
            <w:pPr>
              <w:rPr>
                <w:rFonts w:ascii="Times New Roman" w:eastAsia="Calibri" w:hAnsi="Times New Roman" w:cs="Times New Roman"/>
                <w:b/>
                <w:sz w:val="20"/>
                <w:szCs w:val="20"/>
              </w:rPr>
            </w:pPr>
          </w:p>
          <w:p w14:paraId="0A490FC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If no parking information is found via the regular process, we conduct additional regular expression searches. </w:t>
            </w:r>
          </w:p>
        </w:tc>
      </w:tr>
      <w:tr w:rsidR="00644B7D" w:rsidRPr="00335032" w14:paraId="3B6D2D7F" w14:textId="77777777" w:rsidTr="00E7334F">
        <w:tc>
          <w:tcPr>
            <w:tcW w:w="1615" w:type="dxa"/>
          </w:tcPr>
          <w:p w14:paraId="7A049AB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Permit multi-family by right</w:t>
            </w:r>
          </w:p>
        </w:tc>
        <w:tc>
          <w:tcPr>
            <w:tcW w:w="2961" w:type="dxa"/>
          </w:tcPr>
          <w:p w14:paraId="1DAF554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residential districts, residential district, residential single-family district, residential multi family district, residential single family district, single residential, multiple residential, density residential, zoning district schedules, three-family district, residential detached zones,</w:t>
            </w:r>
          </w:p>
          <w:p w14:paraId="6A67BB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residential multi family district residential multiple-family district, residential zone, residential multi family district, zoning districts, zoning district, zone district, multi family residential, single family residential, land use districts, residential high density, residential medium density, rural residential, residential one acre, residential two acre, housing district, residence zone, residential zone, dwelling zone, multiuse zone, mid-rise district, high-rise district, mixed use zone, overlay district, use regulation schedule, housing (four stories or less) district,  residential overlay, one-family zone, multi family zone, classes of districts, district, district that is designed to, residence districts, residential </w:t>
            </w:r>
            <w:r w:rsidRPr="00335032">
              <w:rPr>
                <w:rFonts w:ascii="Times New Roman" w:eastAsia="Calibri" w:hAnsi="Times New Roman" w:cs="Times New Roman"/>
                <w:bCs/>
                <w:sz w:val="20"/>
                <w:szCs w:val="20"/>
              </w:rPr>
              <w:lastRenderedPageBreak/>
              <w:t>classifications, district regulations, creation of districts, dwelling district:, r1 district, r2 district, r3 district, r4 district, r5 district, r6 district, r7 district, r-1 district, r-2 district, r-3 district, r-4 district, residential-general district, low density district, medium density district, high density district, rural density district, general residence district, residential use district, residence district, residential urban district, residential suburban district, residential limited business district, re residential-existing district, conservation district, r-16 district, low density residential, medium density residential, rm district, low density-residential, medium-density residential, medium-high-density residential,</w:t>
            </w:r>
          </w:p>
          <w:p w14:paraId="288CDE6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r-1 residential., r-2 residential., r-3 residential., residence a district, residence aa district, residence b district, residence bb district, residence c-1 district, residence c-2 district, residence cc district,</w:t>
            </w:r>
          </w:p>
          <w:p w14:paraId="3F3D88B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residence d district, residence dd district, residence e district, residence ee district, residence f district, residence ff district, residence k district, residence a-1, residence a-2, low-rise, medium-rise, high-rise,district, residential urban zone, residential flexible zone, urban residence, suburban residence</w:t>
            </w:r>
          </w:p>
        </w:tc>
        <w:tc>
          <w:tcPr>
            <w:tcW w:w="2169" w:type="dxa"/>
          </w:tcPr>
          <w:p w14:paraId="36B27F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single family residence district, duplex residence district, sfrt, multiple residence district, res-x, r-x-x. xr-x, xr-x, ag, ae, rhd, re-x, rx-x, gr-x, sr-x, rax, rbx, ah-x, ga-x, th, rco, orc, rcd, rcm, ra, rex, rtx, rp-x, r-xmh, m-u-x, r-m-x, r-md-sz, md-x, r-hd-sz, rd-x, rp, gr, su, 1f-x, re, rd, rgx, rms, rmm, rcp, rc, ro, rnc, tld, tmd, thd, cd, rmf-x, rmf, rmh, r-x-e, rm-x, rs, r, srr, rr, rh, ru-x, rsh-x, src, srl, srh, rlx, rhx, r:x, sr, fr, rx-, sfr-x, sfr, mhr, vldr, tn-ldr, tn-mdr, mcn-ldr, mcn-mdr, mon-ldr, mon-mdr, ldr, sfa, url, ar-x, sf-x, 2f-x, mf-x, r/c, ot-mf, ot-sf, nrx, lrx, smu-slu, sm-x, ncx, mf-x, rm, rx, r-xx, os-x, otr, smf, emf, mmf, hr, mfx, mf, tf, mp, sn, rcr, ora, ira, slo, llrd, ldd, ld-r, md-r, mhd-r, hd-r, rs, lrr, lr-x, lr, ur-ld, ur-md, ur-hd, ur, ovr, vr-</w:t>
            </w:r>
            <w:r w:rsidRPr="00335032">
              <w:rPr>
                <w:rFonts w:ascii="Times New Roman" w:eastAsia="Calibri" w:hAnsi="Times New Roman" w:cs="Times New Roman"/>
                <w:bCs/>
                <w:sz w:val="20"/>
                <w:szCs w:val="20"/>
              </w:rPr>
              <w:lastRenderedPageBreak/>
              <w:t xml:space="preserve">mf, vr, hrc, hr, mmh, scmxd, mxd, ru, rf, mxr, r-.x, h-x-x, nc, tnx, t-xx, tx, mhp, rmo, rso, rsf, rlm-x, rlm, r-ld, r-mf, r-mf, sfx, rmx, murzd, mu-r-x, mh-x, mh, mdr, hdr, dmu, mu, mn, tcmu, pdm, tr, lhc, lha, rb, oh, rth, arzd, rzd, vzd, dm-x, ul-x, um-x, uh-x, mc, mr, ns, nu, mx-x, dd-x, x-x, single family dwelling district, two family dwelling district, multi family dwelling district, a apartment, osx, a-a, exx, ex, ga, residential x, office/residential, crd, crd-x, residence a-x, residence c-x, residence e, residence f, residenca aaa, residence aa, residence a, o residential use district, residence x, class ux, residential x, ceod, un-x, ddh, mdrd, x single family district, low-rise apartment district, high-rise apartment district, nrd, rdd, ub, aho-x, rt, tr-x, cr-x, ce-x, cdd, mfrd, mfr-x, cr, neighborhood, urban, village residential, residential-commercial, general residence district, residence x, x-acre single family district, x square foot single family, low-rise multi family, medium rise multi family, family district, a residence districts, b residence districts, r residential district, district x, x residence districts, x residential districts, district x, harbor village district, traditional village district, multiple dwelling district, village </w:t>
            </w:r>
            <w:r w:rsidRPr="00335032">
              <w:rPr>
                <w:rFonts w:ascii="Times New Roman" w:eastAsia="Calibri" w:hAnsi="Times New Roman" w:cs="Times New Roman"/>
                <w:bCs/>
                <w:sz w:val="20"/>
                <w:szCs w:val="20"/>
              </w:rPr>
              <w:lastRenderedPageBreak/>
              <w:t>district, rural residential district, general residential district, rural district, medium density district, affordable housing overlay zone, affordable housing overlay district, multiple dwelling district, dwelling district, garden apartment district, residential-general, rural residential, x district, low-density residential, medium-density residential, high-density residential, residential district x, residential district, residence district, two family residence district, x dwelling district, multi family residence district</w:t>
            </w:r>
          </w:p>
        </w:tc>
        <w:tc>
          <w:tcPr>
            <w:tcW w:w="2057" w:type="dxa"/>
          </w:tcPr>
          <w:p w14:paraId="78DD41C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The code includes a series of procedures to shorten or cut-off strings when necessary to avoid false-positive matches. </w:t>
            </w:r>
          </w:p>
          <w:p w14:paraId="5B311727" w14:textId="77777777" w:rsidR="00644B7D" w:rsidRPr="00335032" w:rsidRDefault="00644B7D" w:rsidP="00644B7D">
            <w:pPr>
              <w:rPr>
                <w:rFonts w:ascii="Times New Roman" w:eastAsia="Calibri" w:hAnsi="Times New Roman" w:cs="Times New Roman"/>
                <w:bCs/>
                <w:sz w:val="20"/>
                <w:szCs w:val="20"/>
              </w:rPr>
            </w:pPr>
          </w:p>
          <w:p w14:paraId="0552254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If no residential districts are found or no residential districts have any matching values, we conduct a series of additional regular expression searches. </w:t>
            </w:r>
          </w:p>
        </w:tc>
      </w:tr>
    </w:tbl>
    <w:p w14:paraId="66774204" w14:textId="77777777" w:rsidR="00644B7D" w:rsidRPr="00335032" w:rsidRDefault="00644B7D" w:rsidP="00644B7D">
      <w:pPr>
        <w:spacing w:after="0" w:line="480" w:lineRule="auto"/>
        <w:rPr>
          <w:rFonts w:ascii="Times New Roman" w:eastAsia="Calibri" w:hAnsi="Times New Roman" w:cs="Times New Roman"/>
          <w:b/>
          <w:sz w:val="20"/>
          <w:szCs w:val="20"/>
        </w:rPr>
      </w:pPr>
    </w:p>
    <w:p w14:paraId="082C8E57" w14:textId="77777777" w:rsidR="00644B7D" w:rsidRPr="00335032" w:rsidRDefault="00644B7D" w:rsidP="00644B7D">
      <w:pPr>
        <w:spacing w:after="0" w:line="480" w:lineRule="auto"/>
        <w:rPr>
          <w:rFonts w:ascii="Times New Roman" w:eastAsia="Calibri" w:hAnsi="Times New Roman" w:cs="Times New Roman"/>
          <w:b/>
          <w:sz w:val="24"/>
          <w:szCs w:val="24"/>
        </w:rPr>
      </w:pPr>
    </w:p>
    <w:p w14:paraId="305D4EE3" w14:textId="77777777" w:rsidR="00644B7D" w:rsidRPr="00335032" w:rsidRDefault="00644B7D" w:rsidP="00644B7D">
      <w:pPr>
        <w:spacing w:after="0" w:line="480" w:lineRule="auto"/>
        <w:rPr>
          <w:rFonts w:ascii="Times New Roman" w:eastAsia="Calibri" w:hAnsi="Times New Roman" w:cs="Times New Roman"/>
          <w:b/>
          <w:sz w:val="24"/>
          <w:szCs w:val="24"/>
        </w:rPr>
      </w:pPr>
    </w:p>
    <w:p w14:paraId="06A8258C" w14:textId="77777777" w:rsidR="00644B7D" w:rsidRPr="00335032" w:rsidRDefault="00644B7D" w:rsidP="00644B7D">
      <w:pPr>
        <w:spacing w:after="0" w:line="480" w:lineRule="auto"/>
        <w:rPr>
          <w:rFonts w:ascii="Times New Roman" w:eastAsia="Calibri" w:hAnsi="Times New Roman" w:cs="Times New Roman"/>
          <w:b/>
          <w:sz w:val="24"/>
          <w:szCs w:val="24"/>
        </w:rPr>
      </w:pPr>
    </w:p>
    <w:p w14:paraId="7BB51F7B" w14:textId="77777777" w:rsidR="00644B7D" w:rsidRPr="00335032" w:rsidRDefault="00644B7D" w:rsidP="00644B7D">
      <w:pPr>
        <w:spacing w:after="0" w:line="480" w:lineRule="auto"/>
        <w:rPr>
          <w:rFonts w:ascii="Times New Roman" w:eastAsia="Calibri" w:hAnsi="Times New Roman" w:cs="Times New Roman"/>
          <w:b/>
          <w:sz w:val="24"/>
          <w:szCs w:val="24"/>
        </w:rPr>
      </w:pPr>
    </w:p>
    <w:p w14:paraId="6E85B7A7" w14:textId="77777777" w:rsidR="00644B7D" w:rsidRPr="00335032" w:rsidRDefault="00644B7D" w:rsidP="00644B7D">
      <w:pPr>
        <w:spacing w:after="0" w:line="480" w:lineRule="auto"/>
        <w:rPr>
          <w:rFonts w:ascii="Times New Roman" w:eastAsia="Calibri" w:hAnsi="Times New Roman" w:cs="Times New Roman"/>
          <w:b/>
          <w:sz w:val="24"/>
          <w:szCs w:val="24"/>
        </w:rPr>
      </w:pPr>
    </w:p>
    <w:p w14:paraId="1AE3792E" w14:textId="77777777" w:rsidR="00644B7D" w:rsidRPr="00335032" w:rsidRDefault="00644B7D" w:rsidP="00644B7D">
      <w:pPr>
        <w:spacing w:after="0" w:line="480" w:lineRule="auto"/>
        <w:rPr>
          <w:rFonts w:ascii="Times New Roman" w:eastAsia="Calibri" w:hAnsi="Times New Roman" w:cs="Times New Roman"/>
          <w:b/>
          <w:sz w:val="24"/>
          <w:szCs w:val="24"/>
        </w:rPr>
      </w:pPr>
    </w:p>
    <w:p w14:paraId="23ACA8C3" w14:textId="77777777" w:rsidR="00644B7D" w:rsidRPr="00335032" w:rsidRDefault="00644B7D" w:rsidP="00644B7D">
      <w:pPr>
        <w:spacing w:after="0" w:line="480" w:lineRule="auto"/>
        <w:rPr>
          <w:rFonts w:ascii="Times New Roman" w:eastAsia="Calibri" w:hAnsi="Times New Roman" w:cs="Times New Roman"/>
          <w:b/>
          <w:sz w:val="24"/>
          <w:szCs w:val="24"/>
        </w:rPr>
      </w:pPr>
    </w:p>
    <w:p w14:paraId="31D30C85" w14:textId="77777777" w:rsidR="00644B7D" w:rsidRPr="00335032" w:rsidRDefault="00644B7D" w:rsidP="00644B7D">
      <w:pPr>
        <w:spacing w:after="0" w:line="480" w:lineRule="auto"/>
        <w:rPr>
          <w:rFonts w:ascii="Times New Roman" w:eastAsia="Calibri" w:hAnsi="Times New Roman" w:cs="Times New Roman"/>
          <w:b/>
          <w:sz w:val="24"/>
          <w:szCs w:val="24"/>
        </w:rPr>
      </w:pPr>
    </w:p>
    <w:p w14:paraId="08940F54" w14:textId="5686BF6E" w:rsidR="00644B7D" w:rsidRPr="00335032" w:rsidRDefault="00644B7D" w:rsidP="00644B7D">
      <w:pPr>
        <w:spacing w:after="0" w:line="480" w:lineRule="auto"/>
        <w:rPr>
          <w:rFonts w:ascii="Times New Roman" w:eastAsia="Calibri" w:hAnsi="Times New Roman" w:cs="Times New Roman"/>
          <w:b/>
          <w:sz w:val="24"/>
          <w:szCs w:val="24"/>
        </w:rPr>
      </w:pPr>
    </w:p>
    <w:p w14:paraId="0A6AB761" w14:textId="3B09C49A" w:rsidR="00043BB3" w:rsidRPr="00335032" w:rsidRDefault="00043BB3" w:rsidP="00644B7D">
      <w:pPr>
        <w:spacing w:after="0" w:line="480" w:lineRule="auto"/>
        <w:rPr>
          <w:rFonts w:ascii="Times New Roman" w:eastAsia="Calibri" w:hAnsi="Times New Roman" w:cs="Times New Roman"/>
          <w:b/>
          <w:sz w:val="24"/>
          <w:szCs w:val="24"/>
        </w:rPr>
      </w:pPr>
    </w:p>
    <w:p w14:paraId="00C822EA" w14:textId="77777777" w:rsidR="00043BB3" w:rsidRPr="00335032" w:rsidRDefault="00043BB3" w:rsidP="00644B7D">
      <w:pPr>
        <w:spacing w:after="0" w:line="480" w:lineRule="auto"/>
        <w:rPr>
          <w:rFonts w:ascii="Times New Roman" w:eastAsia="Calibri" w:hAnsi="Times New Roman" w:cs="Times New Roman"/>
          <w:b/>
          <w:sz w:val="24"/>
          <w:szCs w:val="24"/>
        </w:rPr>
      </w:pPr>
    </w:p>
    <w:p w14:paraId="39A19D4C"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280AEC" w14:textId="07509646"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S3.</w:t>
      </w:r>
      <w:r w:rsidRPr="00335032">
        <w:rPr>
          <w:rFonts w:ascii="Times New Roman" w:eastAsia="Calibri" w:hAnsi="Times New Roman" w:cs="Times New Roman"/>
          <w:sz w:val="24"/>
          <w:szCs w:val="24"/>
        </w:rPr>
        <w:t xml:space="preserve"> ZRI loadings on subindices and correlations</w:t>
      </w:r>
    </w:p>
    <w:tbl>
      <w:tblPr>
        <w:tblStyle w:val="TableGrid1"/>
        <w:tblW w:w="0" w:type="auto"/>
        <w:jc w:val="center"/>
        <w:tblLook w:val="04A0" w:firstRow="1" w:lastRow="0" w:firstColumn="1" w:lastColumn="0" w:noHBand="0" w:noVBand="1"/>
      </w:tblPr>
      <w:tblGrid>
        <w:gridCol w:w="1705"/>
        <w:gridCol w:w="1800"/>
        <w:gridCol w:w="1890"/>
        <w:gridCol w:w="1710"/>
        <w:gridCol w:w="1697"/>
      </w:tblGrid>
      <w:tr w:rsidR="00644B7D" w:rsidRPr="00335032" w14:paraId="53FF6485" w14:textId="77777777" w:rsidTr="00E7334F">
        <w:trPr>
          <w:jc w:val="center"/>
        </w:trPr>
        <w:tc>
          <w:tcPr>
            <w:tcW w:w="1705" w:type="dxa"/>
            <w:vMerge w:val="restart"/>
          </w:tcPr>
          <w:p w14:paraId="3537E5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Subindex</w:t>
            </w:r>
          </w:p>
        </w:tc>
        <w:tc>
          <w:tcPr>
            <w:tcW w:w="3690" w:type="dxa"/>
            <w:gridSpan w:val="2"/>
          </w:tcPr>
          <w:p w14:paraId="3C7738FF"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Reduced Zoning Restrictiveness Index</w:t>
            </w:r>
          </w:p>
        </w:tc>
        <w:tc>
          <w:tcPr>
            <w:tcW w:w="3407" w:type="dxa"/>
            <w:gridSpan w:val="2"/>
          </w:tcPr>
          <w:p w14:paraId="44D25478"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Full Zoning Restrictiveness Index</w:t>
            </w:r>
          </w:p>
        </w:tc>
      </w:tr>
      <w:tr w:rsidR="00644B7D" w:rsidRPr="00335032" w14:paraId="6B170AF1" w14:textId="77777777" w:rsidTr="00E7334F">
        <w:trPr>
          <w:jc w:val="center"/>
        </w:trPr>
        <w:tc>
          <w:tcPr>
            <w:tcW w:w="1705" w:type="dxa"/>
            <w:vMerge/>
          </w:tcPr>
          <w:p w14:paraId="07C035DC" w14:textId="77777777" w:rsidR="00644B7D" w:rsidRPr="00335032" w:rsidRDefault="00644B7D" w:rsidP="00644B7D">
            <w:pPr>
              <w:rPr>
                <w:rFonts w:ascii="Times New Roman" w:eastAsia="Calibri" w:hAnsi="Times New Roman" w:cs="Times New Roman"/>
                <w:bCs/>
                <w:sz w:val="20"/>
                <w:szCs w:val="20"/>
              </w:rPr>
            </w:pPr>
          </w:p>
        </w:tc>
        <w:tc>
          <w:tcPr>
            <w:tcW w:w="1800" w:type="dxa"/>
          </w:tcPr>
          <w:p w14:paraId="73DEEFD7"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Loading</w:t>
            </w:r>
          </w:p>
        </w:tc>
        <w:tc>
          <w:tcPr>
            <w:tcW w:w="1890" w:type="dxa"/>
          </w:tcPr>
          <w:p w14:paraId="4AA410C7"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Correlation with Zoning Restrictiveness Index</w:t>
            </w:r>
          </w:p>
        </w:tc>
        <w:tc>
          <w:tcPr>
            <w:tcW w:w="1710" w:type="dxa"/>
          </w:tcPr>
          <w:p w14:paraId="13247DEF"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Loading</w:t>
            </w:r>
          </w:p>
        </w:tc>
        <w:tc>
          <w:tcPr>
            <w:tcW w:w="1697" w:type="dxa"/>
          </w:tcPr>
          <w:p w14:paraId="79FFF2EB"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Correlation with Zoning Restrictiveness Index</w:t>
            </w:r>
          </w:p>
        </w:tc>
      </w:tr>
      <w:tr w:rsidR="00644B7D" w:rsidRPr="00335032" w14:paraId="21947B6F" w14:textId="77777777" w:rsidTr="00E7334F">
        <w:trPr>
          <w:jc w:val="center"/>
        </w:trPr>
        <w:tc>
          <w:tcPr>
            <w:tcW w:w="1705" w:type="dxa"/>
          </w:tcPr>
          <w:p w14:paraId="6E0BBD3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Explicit Growth Controls Subindex (EGCI)</w:t>
            </w:r>
          </w:p>
        </w:tc>
        <w:tc>
          <w:tcPr>
            <w:tcW w:w="1800" w:type="dxa"/>
          </w:tcPr>
          <w:p w14:paraId="5366654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0.23</w:t>
            </w:r>
          </w:p>
        </w:tc>
        <w:tc>
          <w:tcPr>
            <w:tcW w:w="1890" w:type="dxa"/>
          </w:tcPr>
          <w:p w14:paraId="1A47681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0.30</w:t>
            </w:r>
          </w:p>
        </w:tc>
        <w:tc>
          <w:tcPr>
            <w:tcW w:w="1710" w:type="dxa"/>
          </w:tcPr>
          <w:p w14:paraId="4070653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0.22</w:t>
            </w:r>
          </w:p>
        </w:tc>
        <w:tc>
          <w:tcPr>
            <w:tcW w:w="1697" w:type="dxa"/>
          </w:tcPr>
          <w:p w14:paraId="32E8A1D0"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0.34</w:t>
            </w:r>
          </w:p>
        </w:tc>
      </w:tr>
      <w:tr w:rsidR="00644B7D" w:rsidRPr="00335032" w14:paraId="3A40A5F1" w14:textId="77777777" w:rsidTr="00E7334F">
        <w:trPr>
          <w:jc w:val="center"/>
        </w:trPr>
        <w:tc>
          <w:tcPr>
            <w:tcW w:w="1705" w:type="dxa"/>
          </w:tcPr>
          <w:p w14:paraId="5850271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Open space requirements Subindex (OSRI)</w:t>
            </w:r>
          </w:p>
        </w:tc>
        <w:tc>
          <w:tcPr>
            <w:tcW w:w="1800" w:type="dxa"/>
          </w:tcPr>
          <w:p w14:paraId="15F982E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890" w:type="dxa"/>
          </w:tcPr>
          <w:p w14:paraId="20201CC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710" w:type="dxa"/>
          </w:tcPr>
          <w:p w14:paraId="0AFBF87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0.42</w:t>
            </w:r>
          </w:p>
        </w:tc>
        <w:tc>
          <w:tcPr>
            <w:tcW w:w="1697" w:type="dxa"/>
          </w:tcPr>
          <w:p w14:paraId="7F78040F"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r>
      <w:tr w:rsidR="00644B7D" w:rsidRPr="00335032" w14:paraId="5C09E75D" w14:textId="77777777" w:rsidTr="00E7334F">
        <w:trPr>
          <w:jc w:val="center"/>
        </w:trPr>
        <w:tc>
          <w:tcPr>
            <w:tcW w:w="1705" w:type="dxa"/>
          </w:tcPr>
          <w:p w14:paraId="5D2AD70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Minimum Lot Size Subindex (MLSI)</w:t>
            </w:r>
          </w:p>
        </w:tc>
        <w:tc>
          <w:tcPr>
            <w:tcW w:w="1800" w:type="dxa"/>
          </w:tcPr>
          <w:p w14:paraId="4F87340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0.39</w:t>
            </w:r>
          </w:p>
        </w:tc>
        <w:tc>
          <w:tcPr>
            <w:tcW w:w="1890" w:type="dxa"/>
          </w:tcPr>
          <w:p w14:paraId="10E2E0C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0.65</w:t>
            </w:r>
          </w:p>
        </w:tc>
        <w:tc>
          <w:tcPr>
            <w:tcW w:w="1710" w:type="dxa"/>
          </w:tcPr>
          <w:p w14:paraId="6AD5368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0.31</w:t>
            </w:r>
          </w:p>
        </w:tc>
        <w:tc>
          <w:tcPr>
            <w:tcW w:w="1697" w:type="dxa"/>
          </w:tcPr>
          <w:p w14:paraId="109916B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0.61</w:t>
            </w:r>
          </w:p>
        </w:tc>
      </w:tr>
      <w:tr w:rsidR="00644B7D" w:rsidRPr="00335032" w14:paraId="75A9A0C8" w14:textId="77777777" w:rsidTr="00E7334F">
        <w:trPr>
          <w:jc w:val="center"/>
        </w:trPr>
        <w:tc>
          <w:tcPr>
            <w:tcW w:w="1705" w:type="dxa"/>
          </w:tcPr>
          <w:p w14:paraId="02FDB60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No Rezoning Subindex (NZI)</w:t>
            </w:r>
          </w:p>
        </w:tc>
        <w:tc>
          <w:tcPr>
            <w:tcW w:w="1800" w:type="dxa"/>
          </w:tcPr>
          <w:p w14:paraId="5A3DCD57"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0.40</w:t>
            </w:r>
          </w:p>
        </w:tc>
        <w:tc>
          <w:tcPr>
            <w:tcW w:w="1890" w:type="dxa"/>
          </w:tcPr>
          <w:p w14:paraId="0FFB5A6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0.47</w:t>
            </w:r>
          </w:p>
        </w:tc>
        <w:tc>
          <w:tcPr>
            <w:tcW w:w="1710" w:type="dxa"/>
          </w:tcPr>
          <w:p w14:paraId="38C8CD95"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0.28</w:t>
            </w:r>
          </w:p>
        </w:tc>
        <w:tc>
          <w:tcPr>
            <w:tcW w:w="1697" w:type="dxa"/>
          </w:tcPr>
          <w:p w14:paraId="0A8399A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0.38</w:t>
            </w:r>
          </w:p>
        </w:tc>
      </w:tr>
      <w:tr w:rsidR="00644B7D" w:rsidRPr="00335032" w14:paraId="60FE02CE" w14:textId="77777777" w:rsidTr="00E7334F">
        <w:trPr>
          <w:jc w:val="center"/>
        </w:trPr>
        <w:tc>
          <w:tcPr>
            <w:tcW w:w="1705" w:type="dxa"/>
          </w:tcPr>
          <w:p w14:paraId="078A1D0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Rezoning Subindex (RZI)</w:t>
            </w:r>
          </w:p>
        </w:tc>
        <w:tc>
          <w:tcPr>
            <w:tcW w:w="1800" w:type="dxa"/>
          </w:tcPr>
          <w:p w14:paraId="58897A6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0.16</w:t>
            </w:r>
          </w:p>
        </w:tc>
        <w:tc>
          <w:tcPr>
            <w:tcW w:w="1890" w:type="dxa"/>
          </w:tcPr>
          <w:p w14:paraId="2D2A875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0.19</w:t>
            </w:r>
          </w:p>
        </w:tc>
        <w:tc>
          <w:tcPr>
            <w:tcW w:w="1710" w:type="dxa"/>
          </w:tcPr>
          <w:p w14:paraId="53978D24"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0.00</w:t>
            </w:r>
          </w:p>
        </w:tc>
        <w:tc>
          <w:tcPr>
            <w:tcW w:w="1697" w:type="dxa"/>
          </w:tcPr>
          <w:p w14:paraId="780E8B2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0.03</w:t>
            </w:r>
          </w:p>
        </w:tc>
      </w:tr>
      <w:tr w:rsidR="00644B7D" w:rsidRPr="00335032" w14:paraId="65C464D4" w14:textId="77777777" w:rsidTr="00E7334F">
        <w:trPr>
          <w:jc w:val="center"/>
        </w:trPr>
        <w:tc>
          <w:tcPr>
            <w:tcW w:w="1705" w:type="dxa"/>
          </w:tcPr>
          <w:p w14:paraId="0BBE815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Permitted Density Subindex (MPDI)</w:t>
            </w:r>
          </w:p>
        </w:tc>
        <w:tc>
          <w:tcPr>
            <w:tcW w:w="1800" w:type="dxa"/>
          </w:tcPr>
          <w:p w14:paraId="26758F2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-0.35</w:t>
            </w:r>
          </w:p>
        </w:tc>
        <w:tc>
          <w:tcPr>
            <w:tcW w:w="1890" w:type="dxa"/>
          </w:tcPr>
          <w:p w14:paraId="07026248"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710" w:type="dxa"/>
          </w:tcPr>
          <w:p w14:paraId="018108B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-0.26</w:t>
            </w:r>
          </w:p>
        </w:tc>
        <w:tc>
          <w:tcPr>
            <w:tcW w:w="1697" w:type="dxa"/>
          </w:tcPr>
          <w:p w14:paraId="4E386D4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-0.44</w:t>
            </w:r>
          </w:p>
        </w:tc>
      </w:tr>
      <w:tr w:rsidR="00644B7D" w:rsidRPr="00335032" w14:paraId="7664AC39" w14:textId="77777777" w:rsidTr="00E7334F">
        <w:trPr>
          <w:jc w:val="center"/>
        </w:trPr>
        <w:tc>
          <w:tcPr>
            <w:tcW w:w="1705" w:type="dxa"/>
          </w:tcPr>
          <w:p w14:paraId="3A5CF4E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Inclusionary Zoning Subindex (IZI)</w:t>
            </w:r>
          </w:p>
        </w:tc>
        <w:tc>
          <w:tcPr>
            <w:tcW w:w="1800" w:type="dxa"/>
          </w:tcPr>
          <w:p w14:paraId="1B2B29BE"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0.48</w:t>
            </w:r>
          </w:p>
        </w:tc>
        <w:tc>
          <w:tcPr>
            <w:tcW w:w="1890" w:type="dxa"/>
          </w:tcPr>
          <w:p w14:paraId="61ED14DF"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0.47</w:t>
            </w:r>
          </w:p>
        </w:tc>
        <w:tc>
          <w:tcPr>
            <w:tcW w:w="1710" w:type="dxa"/>
          </w:tcPr>
          <w:p w14:paraId="5F46875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c>
          <w:tcPr>
            <w:tcW w:w="1697" w:type="dxa"/>
          </w:tcPr>
          <w:p w14:paraId="2FC36774" w14:textId="77777777" w:rsidR="00644B7D" w:rsidRPr="00335032" w:rsidRDefault="00644B7D" w:rsidP="00644B7D">
            <w:pPr>
              <w:tabs>
                <w:tab w:val="center" w:pos="854"/>
                <w:tab w:val="right" w:pos="1709"/>
              </w:tabs>
              <w:rPr>
                <w:rFonts w:ascii="Times New Roman" w:eastAsia="Calibri" w:hAnsi="Times New Roman" w:cs="Times New Roman"/>
                <w:sz w:val="20"/>
                <w:szCs w:val="20"/>
              </w:rPr>
            </w:pPr>
            <w:r w:rsidRPr="00335032">
              <w:rPr>
                <w:rFonts w:ascii="Times New Roman" w:eastAsia="Calibri" w:hAnsi="Times New Roman" w:cs="Times New Roman"/>
                <w:sz w:val="20"/>
                <w:szCs w:val="20"/>
              </w:rPr>
              <w:tab/>
              <w:t>0.58</w:t>
            </w:r>
            <w:r w:rsidRPr="00335032">
              <w:rPr>
                <w:rFonts w:ascii="Times New Roman" w:eastAsia="Calibri" w:hAnsi="Times New Roman" w:cs="Times New Roman"/>
                <w:sz w:val="20"/>
                <w:szCs w:val="20"/>
              </w:rPr>
              <w:tab/>
            </w:r>
          </w:p>
        </w:tc>
      </w:tr>
      <w:tr w:rsidR="00644B7D" w:rsidRPr="00335032" w14:paraId="6F66D191" w14:textId="77777777" w:rsidTr="00E7334F">
        <w:trPr>
          <w:jc w:val="center"/>
        </w:trPr>
        <w:tc>
          <w:tcPr>
            <w:tcW w:w="1705" w:type="dxa"/>
          </w:tcPr>
          <w:p w14:paraId="0F2FF3C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Accessory Dwelling Unit Subindex (ADUI)</w:t>
            </w:r>
          </w:p>
        </w:tc>
        <w:tc>
          <w:tcPr>
            <w:tcW w:w="1800" w:type="dxa"/>
          </w:tcPr>
          <w:p w14:paraId="3DA8EB4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145784B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7C8A827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c>
          <w:tcPr>
            <w:tcW w:w="1697" w:type="dxa"/>
          </w:tcPr>
          <w:p w14:paraId="68BB2AD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0.59</w:t>
            </w:r>
          </w:p>
        </w:tc>
      </w:tr>
      <w:tr w:rsidR="00644B7D" w:rsidRPr="00335032" w14:paraId="4E9D50A4" w14:textId="77777777" w:rsidTr="00E7334F">
        <w:trPr>
          <w:jc w:val="center"/>
        </w:trPr>
        <w:tc>
          <w:tcPr>
            <w:tcW w:w="1705" w:type="dxa"/>
          </w:tcPr>
          <w:p w14:paraId="56829D9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Height Subindex (MHI)</w:t>
            </w:r>
          </w:p>
        </w:tc>
        <w:tc>
          <w:tcPr>
            <w:tcW w:w="1800" w:type="dxa"/>
          </w:tcPr>
          <w:p w14:paraId="6BE56646"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5A918E4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1D0B3326"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-0.01</w:t>
            </w:r>
          </w:p>
        </w:tc>
        <w:tc>
          <w:tcPr>
            <w:tcW w:w="1697" w:type="dxa"/>
          </w:tcPr>
          <w:p w14:paraId="51B602F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w:t>
            </w:r>
          </w:p>
        </w:tc>
      </w:tr>
      <w:tr w:rsidR="00644B7D" w:rsidRPr="00335032" w14:paraId="35547303" w14:textId="77777777" w:rsidTr="00E7334F">
        <w:trPr>
          <w:jc w:val="center"/>
        </w:trPr>
        <w:tc>
          <w:tcPr>
            <w:tcW w:w="1705" w:type="dxa"/>
          </w:tcPr>
          <w:p w14:paraId="042B8E4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Minimum Required Parking Subindex (MRPI)</w:t>
            </w:r>
          </w:p>
        </w:tc>
        <w:tc>
          <w:tcPr>
            <w:tcW w:w="1800" w:type="dxa"/>
          </w:tcPr>
          <w:p w14:paraId="15FE067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4D4A1649"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2E45C450"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-0.07</w:t>
            </w:r>
          </w:p>
        </w:tc>
        <w:tc>
          <w:tcPr>
            <w:tcW w:w="1697" w:type="dxa"/>
          </w:tcPr>
          <w:p w14:paraId="45890A14"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-0.11</w:t>
            </w:r>
          </w:p>
        </w:tc>
      </w:tr>
      <w:tr w:rsidR="00644B7D" w:rsidRPr="00335032" w14:paraId="115EED34" w14:textId="77777777" w:rsidTr="00E7334F">
        <w:trPr>
          <w:jc w:val="center"/>
        </w:trPr>
        <w:tc>
          <w:tcPr>
            <w:tcW w:w="1705" w:type="dxa"/>
          </w:tcPr>
          <w:p w14:paraId="03CD1A7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Permitted Multifamily Housing Subindex (MFPI)</w:t>
            </w:r>
          </w:p>
        </w:tc>
        <w:tc>
          <w:tcPr>
            <w:tcW w:w="1800" w:type="dxa"/>
          </w:tcPr>
          <w:p w14:paraId="6E7C77E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380FE53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54D9D0E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0.16</w:t>
            </w:r>
          </w:p>
        </w:tc>
        <w:tc>
          <w:tcPr>
            <w:tcW w:w="1697" w:type="dxa"/>
          </w:tcPr>
          <w:p w14:paraId="432F871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0.11</w:t>
            </w:r>
          </w:p>
        </w:tc>
      </w:tr>
    </w:tbl>
    <w:p w14:paraId="01BEA7EE" w14:textId="77777777" w:rsidR="00644B7D" w:rsidRPr="00335032" w:rsidRDefault="00644B7D" w:rsidP="00644B7D">
      <w:pPr>
        <w:spacing w:after="0" w:line="480" w:lineRule="auto"/>
        <w:ind w:firstLine="720"/>
        <w:rPr>
          <w:rFonts w:ascii="Times New Roman" w:eastAsia="Calibri" w:hAnsi="Times New Roman" w:cs="Times New Roman"/>
          <w:sz w:val="24"/>
          <w:szCs w:val="24"/>
        </w:rPr>
      </w:pPr>
    </w:p>
    <w:p w14:paraId="2DC96182"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As the results in Table S3 detail, the Reduced ZRI loads positively and is positively correlated with all but one of the subindices, the MDPI. The OSRI and IZPI indices contribute the most to the Reduced ZRI, followed by the NZI index and the minimum lot size and density information captured by the MPDI and MLSI subindices. The EGCI and RZI subindices contribute the least to the Reduced ZRI, which in the case of EGCI, could be due to the lack of growth control implementation outside a handful of municipalities. As for RZI, it is conceivable that municipalities generally require a similar number of reviewing and approving authorities in the case of rezonings, but vary more in the extent to which they require reviews and approvals for projects that meet current zoning regulations. </w:t>
      </w:r>
    </w:p>
    <w:p w14:paraId="21AE91EB"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Though a positive ZRI loading on IZPI and a negative loading on MPDI may initially seem counterintuitive, these results make sense in the context of previous research. Zoning </w:t>
      </w:r>
      <w:r w:rsidRPr="00335032">
        <w:rPr>
          <w:rFonts w:ascii="Times New Roman" w:hAnsi="Times New Roman" w:cs="Times New Roman"/>
          <w:sz w:val="24"/>
          <w:szCs w:val="24"/>
        </w:rPr>
        <w:lastRenderedPageBreak/>
        <w:t xml:space="preserve">restrictiveness is understood to be more present in denser, oftentimes coastal housing markets. Inclusionary zoning programs heavily concentrate in these markets as well (see Figure S3), suggesting that these interventions could be born out of conditions that correlate with housing scarcity just as they may contribute to zoning restrictiveness. </w:t>
      </w:r>
    </w:p>
    <w:p w14:paraId="4120A81B"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Turning to the Full ZRI, the results for the loadings on the original subindices are generally similar. The contribution from the RZI is now negligible and contributions from other subindices such as the OSRI are reduced. Interestingly, the contribution from the IZI subindex seems more pronounced and on par with the ADUI. The contributions from maximum permitted building heights (MHI) and minimum parking requirements (MRPI) seem negligible and the subindex measuring the proportion of residential districts allowing multi-family housing by right contributes modestly to the Full ZRI. </w:t>
      </w:r>
    </w:p>
    <w:p w14:paraId="1CDDF571" w14:textId="6FCE2192"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Five subindices (OSRI, MLSI, MPDI, IZI, and ADUI) are highly correlated with the overall ZRI. In order to explore these relationships in more detail, we take the mean of either one of these subindices or closely related measures for all MSAs and rank the top ten highest values for each of the five measures. We do this to illustrate how conclusions regarding MSA-level zoning and land use restrictiveness vary depending on each individual measure. Table S4 below contains these results.</w:t>
      </w:r>
    </w:p>
    <w:p w14:paraId="0A1DBD88" w14:textId="77777777" w:rsidR="00644B7D" w:rsidRPr="00335032" w:rsidRDefault="00644B7D" w:rsidP="00644B7D">
      <w:pPr>
        <w:rPr>
          <w:rFonts w:ascii="Times New Roman" w:hAnsi="Times New Roman" w:cs="Times New Roman"/>
          <w:sz w:val="24"/>
          <w:szCs w:val="24"/>
        </w:rPr>
      </w:pPr>
    </w:p>
    <w:p w14:paraId="31FCB6D7" w14:textId="77777777" w:rsidR="00644B7D" w:rsidRPr="00335032" w:rsidRDefault="00644B7D" w:rsidP="00644B7D">
      <w:pPr>
        <w:rPr>
          <w:rFonts w:ascii="Times New Roman" w:hAnsi="Times New Roman" w:cs="Times New Roman"/>
          <w:sz w:val="24"/>
          <w:szCs w:val="24"/>
        </w:rPr>
      </w:pPr>
    </w:p>
    <w:p w14:paraId="62253584" w14:textId="77777777" w:rsidR="00644B7D" w:rsidRPr="00335032" w:rsidRDefault="00644B7D" w:rsidP="00644B7D">
      <w:pPr>
        <w:spacing w:after="0" w:line="480" w:lineRule="auto"/>
        <w:rPr>
          <w:rFonts w:ascii="Times New Roman" w:eastAsia="Calibri" w:hAnsi="Times New Roman" w:cs="Times New Roman"/>
          <w:b/>
          <w:sz w:val="24"/>
          <w:szCs w:val="24"/>
        </w:rPr>
      </w:pPr>
    </w:p>
    <w:p w14:paraId="26CCFD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2B12E2D8" w14:textId="77777777" w:rsidR="001140C0" w:rsidRPr="00335032" w:rsidRDefault="001140C0" w:rsidP="00644B7D">
      <w:pPr>
        <w:spacing w:after="0" w:line="480" w:lineRule="auto"/>
        <w:rPr>
          <w:rFonts w:ascii="Times New Roman" w:eastAsia="Calibri" w:hAnsi="Times New Roman" w:cs="Times New Roman"/>
          <w:b/>
          <w:sz w:val="24"/>
          <w:szCs w:val="24"/>
        </w:rPr>
      </w:pPr>
    </w:p>
    <w:p w14:paraId="1116374A" w14:textId="77777777" w:rsidR="001140C0" w:rsidRPr="00335032" w:rsidRDefault="001140C0" w:rsidP="00644B7D">
      <w:pPr>
        <w:spacing w:after="0" w:line="480" w:lineRule="auto"/>
        <w:rPr>
          <w:rFonts w:ascii="Times New Roman" w:eastAsia="Calibri" w:hAnsi="Times New Roman" w:cs="Times New Roman"/>
          <w:b/>
          <w:sz w:val="24"/>
          <w:szCs w:val="24"/>
        </w:rPr>
      </w:pPr>
    </w:p>
    <w:p w14:paraId="552EA770" w14:textId="77777777" w:rsidR="001140C0" w:rsidRPr="00335032" w:rsidRDefault="001140C0" w:rsidP="00644B7D">
      <w:pPr>
        <w:spacing w:after="0" w:line="480" w:lineRule="auto"/>
        <w:rPr>
          <w:rFonts w:ascii="Times New Roman" w:eastAsia="Calibri" w:hAnsi="Times New Roman" w:cs="Times New Roman"/>
          <w:b/>
          <w:sz w:val="24"/>
          <w:szCs w:val="24"/>
        </w:rPr>
      </w:pPr>
    </w:p>
    <w:p w14:paraId="478F3DB2" w14:textId="77777777" w:rsidR="001140C0" w:rsidRPr="00335032" w:rsidRDefault="001140C0" w:rsidP="00644B7D">
      <w:pPr>
        <w:spacing w:after="0" w:line="480" w:lineRule="auto"/>
        <w:rPr>
          <w:rFonts w:ascii="Times New Roman" w:eastAsia="Calibri" w:hAnsi="Times New Roman" w:cs="Times New Roman"/>
          <w:b/>
          <w:sz w:val="24"/>
          <w:szCs w:val="24"/>
        </w:rPr>
      </w:pPr>
    </w:p>
    <w:p w14:paraId="4AC2A3CF" w14:textId="77777777" w:rsidR="001140C0" w:rsidRPr="00335032" w:rsidRDefault="001140C0" w:rsidP="00644B7D">
      <w:pPr>
        <w:spacing w:after="0" w:line="480" w:lineRule="auto"/>
        <w:rPr>
          <w:rFonts w:ascii="Times New Roman" w:eastAsia="Calibri" w:hAnsi="Times New Roman" w:cs="Times New Roman"/>
          <w:b/>
          <w:sz w:val="24"/>
          <w:szCs w:val="24"/>
        </w:rPr>
      </w:pPr>
    </w:p>
    <w:p w14:paraId="7EEB132E" w14:textId="77777777" w:rsidR="001140C0" w:rsidRPr="00335032" w:rsidRDefault="001140C0" w:rsidP="00644B7D">
      <w:pPr>
        <w:spacing w:after="0" w:line="480" w:lineRule="auto"/>
        <w:rPr>
          <w:rFonts w:ascii="Times New Roman" w:eastAsia="Calibri" w:hAnsi="Times New Roman" w:cs="Times New Roman"/>
          <w:b/>
          <w:sz w:val="24"/>
          <w:szCs w:val="24"/>
        </w:rPr>
      </w:pPr>
    </w:p>
    <w:p w14:paraId="471113CA" w14:textId="77777777" w:rsidR="001140C0" w:rsidRPr="00335032" w:rsidRDefault="001140C0" w:rsidP="00644B7D">
      <w:pPr>
        <w:spacing w:after="0" w:line="480" w:lineRule="auto"/>
        <w:rPr>
          <w:rFonts w:ascii="Times New Roman" w:eastAsia="Calibri" w:hAnsi="Times New Roman" w:cs="Times New Roman"/>
          <w:b/>
          <w:sz w:val="24"/>
          <w:szCs w:val="24"/>
        </w:rPr>
      </w:pPr>
    </w:p>
    <w:p w14:paraId="724D46F5" w14:textId="77777777" w:rsidR="001140C0" w:rsidRPr="00335032" w:rsidRDefault="001140C0" w:rsidP="00644B7D">
      <w:pPr>
        <w:spacing w:after="0" w:line="480" w:lineRule="auto"/>
        <w:rPr>
          <w:rFonts w:ascii="Times New Roman" w:eastAsia="Calibri" w:hAnsi="Times New Roman" w:cs="Times New Roman"/>
          <w:b/>
          <w:sz w:val="24"/>
          <w:szCs w:val="24"/>
        </w:rPr>
      </w:pPr>
    </w:p>
    <w:p w14:paraId="611B85D9" w14:textId="77777777" w:rsidR="001140C0" w:rsidRPr="00335032" w:rsidRDefault="001140C0" w:rsidP="00644B7D">
      <w:pPr>
        <w:spacing w:after="0" w:line="480" w:lineRule="auto"/>
        <w:rPr>
          <w:rFonts w:ascii="Times New Roman" w:eastAsia="Calibri" w:hAnsi="Times New Roman" w:cs="Times New Roman"/>
          <w:b/>
          <w:sz w:val="24"/>
          <w:szCs w:val="24"/>
        </w:rPr>
      </w:pPr>
    </w:p>
    <w:p w14:paraId="01598B8C" w14:textId="77777777" w:rsidR="001140C0" w:rsidRPr="00335032" w:rsidRDefault="001140C0" w:rsidP="00644B7D">
      <w:pPr>
        <w:spacing w:after="0" w:line="480" w:lineRule="auto"/>
        <w:rPr>
          <w:rFonts w:ascii="Times New Roman" w:eastAsia="Calibri" w:hAnsi="Times New Roman" w:cs="Times New Roman"/>
          <w:b/>
          <w:sz w:val="24"/>
          <w:szCs w:val="24"/>
        </w:rPr>
      </w:pPr>
    </w:p>
    <w:p w14:paraId="79A26F67" w14:textId="634B3952"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S4.</w:t>
      </w:r>
      <w:r w:rsidRPr="00335032">
        <w:rPr>
          <w:rFonts w:ascii="Times New Roman" w:eastAsia="Calibri" w:hAnsi="Times New Roman" w:cs="Times New Roman"/>
          <w:sz w:val="24"/>
          <w:szCs w:val="24"/>
        </w:rPr>
        <w:t xml:space="preserve"> MSA rankings by means of subindices (means in parentheses) </w:t>
      </w:r>
    </w:p>
    <w:tbl>
      <w:tblPr>
        <w:tblStyle w:val="TableGrid"/>
        <w:tblW w:w="8905" w:type="dxa"/>
        <w:tblLook w:val="04A0" w:firstRow="1" w:lastRow="0" w:firstColumn="1" w:lastColumn="0" w:noHBand="0" w:noVBand="1"/>
      </w:tblPr>
      <w:tblGrid>
        <w:gridCol w:w="640"/>
        <w:gridCol w:w="1515"/>
        <w:gridCol w:w="1620"/>
        <w:gridCol w:w="1710"/>
        <w:gridCol w:w="1710"/>
        <w:gridCol w:w="1710"/>
      </w:tblGrid>
      <w:tr w:rsidR="00644B7D" w:rsidRPr="00335032" w14:paraId="6402868D" w14:textId="77777777" w:rsidTr="00E7334F">
        <w:tc>
          <w:tcPr>
            <w:tcW w:w="640" w:type="dxa"/>
          </w:tcPr>
          <w:p w14:paraId="6798CB0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Rank</w:t>
            </w:r>
          </w:p>
        </w:tc>
        <w:tc>
          <w:tcPr>
            <w:tcW w:w="1515" w:type="dxa"/>
          </w:tcPr>
          <w:p w14:paraId="6BB1110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Proportion of municipalities requiring open space </w:t>
            </w:r>
          </w:p>
        </w:tc>
        <w:tc>
          <w:tcPr>
            <w:tcW w:w="1620" w:type="dxa"/>
          </w:tcPr>
          <w:p w14:paraId="02E6F25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Proportion of municipalities with one or two acre maximum minimum lot sizes </w:t>
            </w:r>
          </w:p>
        </w:tc>
        <w:tc>
          <w:tcPr>
            <w:tcW w:w="1710" w:type="dxa"/>
          </w:tcPr>
          <w:p w14:paraId="70EBC17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permitting only 0-4 dwelling units per acre</w:t>
            </w:r>
          </w:p>
        </w:tc>
        <w:tc>
          <w:tcPr>
            <w:tcW w:w="1710" w:type="dxa"/>
          </w:tcPr>
          <w:p w14:paraId="1F6974C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with inclusionary zoning programs</w:t>
            </w:r>
          </w:p>
        </w:tc>
        <w:tc>
          <w:tcPr>
            <w:tcW w:w="1710" w:type="dxa"/>
          </w:tcPr>
          <w:p w14:paraId="2BB1EDF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permitting ADUs</w:t>
            </w:r>
          </w:p>
        </w:tc>
      </w:tr>
      <w:tr w:rsidR="00644B7D" w:rsidRPr="00335032" w14:paraId="4ABA9D7E" w14:textId="77777777" w:rsidTr="00E7334F">
        <w:tc>
          <w:tcPr>
            <w:tcW w:w="640" w:type="dxa"/>
          </w:tcPr>
          <w:p w14:paraId="4FF0B20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w:t>
            </w:r>
          </w:p>
        </w:tc>
        <w:tc>
          <w:tcPr>
            <w:tcW w:w="1515" w:type="dxa"/>
          </w:tcPr>
          <w:p w14:paraId="5FEB8CF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Provo-Orem, UT (1.0) </w:t>
            </w:r>
          </w:p>
        </w:tc>
        <w:tc>
          <w:tcPr>
            <w:tcW w:w="1620" w:type="dxa"/>
          </w:tcPr>
          <w:p w14:paraId="6A8BBD5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(0.91)</w:t>
            </w:r>
          </w:p>
        </w:tc>
        <w:tc>
          <w:tcPr>
            <w:tcW w:w="1710" w:type="dxa"/>
          </w:tcPr>
          <w:p w14:paraId="0DEAA13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(0.27)</w:t>
            </w:r>
          </w:p>
        </w:tc>
        <w:tc>
          <w:tcPr>
            <w:tcW w:w="1710" w:type="dxa"/>
          </w:tcPr>
          <w:p w14:paraId="7D38B9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Diego-Carlsbad-San Marcos, CA (1.0)</w:t>
            </w:r>
          </w:p>
        </w:tc>
        <w:tc>
          <w:tcPr>
            <w:tcW w:w="1710" w:type="dxa"/>
          </w:tcPr>
          <w:p w14:paraId="041F959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Provo-Orem, UT (1.0)</w:t>
            </w:r>
          </w:p>
        </w:tc>
      </w:tr>
      <w:tr w:rsidR="00644B7D" w:rsidRPr="00335032" w14:paraId="7C63EE87" w14:textId="77777777" w:rsidTr="00E7334F">
        <w:tc>
          <w:tcPr>
            <w:tcW w:w="640" w:type="dxa"/>
          </w:tcPr>
          <w:p w14:paraId="7438CA3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w:t>
            </w:r>
          </w:p>
        </w:tc>
        <w:tc>
          <w:tcPr>
            <w:tcW w:w="1515" w:type="dxa"/>
          </w:tcPr>
          <w:p w14:paraId="41B3230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Springfield, MA (1.0)</w:t>
            </w:r>
          </w:p>
        </w:tc>
        <w:tc>
          <w:tcPr>
            <w:tcW w:w="1620" w:type="dxa"/>
          </w:tcPr>
          <w:p w14:paraId="1052DB0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(0.91)</w:t>
            </w:r>
          </w:p>
        </w:tc>
        <w:tc>
          <w:tcPr>
            <w:tcW w:w="1710" w:type="dxa"/>
          </w:tcPr>
          <w:p w14:paraId="55A919B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(0.18)</w:t>
            </w:r>
          </w:p>
        </w:tc>
        <w:tc>
          <w:tcPr>
            <w:tcW w:w="1710" w:type="dxa"/>
          </w:tcPr>
          <w:p w14:paraId="534D807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Francisco-Oakland-Fremont, CA (0.96)</w:t>
            </w:r>
          </w:p>
        </w:tc>
        <w:tc>
          <w:tcPr>
            <w:tcW w:w="1710" w:type="dxa"/>
          </w:tcPr>
          <w:p w14:paraId="5F45308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(0.96)</w:t>
            </w:r>
          </w:p>
        </w:tc>
      </w:tr>
      <w:tr w:rsidR="00644B7D" w:rsidRPr="00335032" w14:paraId="53723F85" w14:textId="77777777" w:rsidTr="00E7334F">
        <w:tc>
          <w:tcPr>
            <w:tcW w:w="640" w:type="dxa"/>
          </w:tcPr>
          <w:p w14:paraId="20C2AD6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w:t>
            </w:r>
          </w:p>
        </w:tc>
        <w:tc>
          <w:tcPr>
            <w:tcW w:w="1515" w:type="dxa"/>
          </w:tcPr>
          <w:p w14:paraId="6783F62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Washington-Arlington-Alexandria, DC-VA-MD-WV (1.0)</w:t>
            </w:r>
          </w:p>
        </w:tc>
        <w:tc>
          <w:tcPr>
            <w:tcW w:w="1620" w:type="dxa"/>
          </w:tcPr>
          <w:p w14:paraId="4C8721E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Phoenix-Mesa-Glendale, AZ (0.83)</w:t>
            </w:r>
          </w:p>
        </w:tc>
        <w:tc>
          <w:tcPr>
            <w:tcW w:w="1710" w:type="dxa"/>
          </w:tcPr>
          <w:p w14:paraId="772CEF7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Antonio-New Braunfels, TX (0.15)</w:t>
            </w:r>
          </w:p>
        </w:tc>
        <w:tc>
          <w:tcPr>
            <w:tcW w:w="1710" w:type="dxa"/>
          </w:tcPr>
          <w:p w14:paraId="11EC745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(0.93)</w:t>
            </w:r>
          </w:p>
        </w:tc>
        <w:tc>
          <w:tcPr>
            <w:tcW w:w="1710" w:type="dxa"/>
          </w:tcPr>
          <w:p w14:paraId="3736FC1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Francisco-Oakland-Fremont, CA (0.96)</w:t>
            </w:r>
          </w:p>
        </w:tc>
      </w:tr>
      <w:tr w:rsidR="00644B7D" w:rsidRPr="00335032" w14:paraId="446ED478" w14:textId="77777777" w:rsidTr="00E7334F">
        <w:tc>
          <w:tcPr>
            <w:tcW w:w="640" w:type="dxa"/>
          </w:tcPr>
          <w:p w14:paraId="60FBB57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4</w:t>
            </w:r>
          </w:p>
        </w:tc>
        <w:tc>
          <w:tcPr>
            <w:tcW w:w="1515" w:type="dxa"/>
          </w:tcPr>
          <w:p w14:paraId="336E9D5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(0.96)</w:t>
            </w:r>
          </w:p>
        </w:tc>
        <w:tc>
          <w:tcPr>
            <w:tcW w:w="1620" w:type="dxa"/>
          </w:tcPr>
          <w:p w14:paraId="35978C3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(0.82)</w:t>
            </w:r>
          </w:p>
        </w:tc>
        <w:tc>
          <w:tcPr>
            <w:tcW w:w="1710" w:type="dxa"/>
          </w:tcPr>
          <w:p w14:paraId="11EA0F5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(0.13)</w:t>
            </w:r>
          </w:p>
        </w:tc>
        <w:tc>
          <w:tcPr>
            <w:tcW w:w="1710" w:type="dxa"/>
          </w:tcPr>
          <w:p w14:paraId="5B5C3B4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Los Angeles-Long Beach-Santa Ana, CA (0.90)</w:t>
            </w:r>
          </w:p>
        </w:tc>
        <w:tc>
          <w:tcPr>
            <w:tcW w:w="1710" w:type="dxa"/>
          </w:tcPr>
          <w:p w14:paraId="7C5ADA1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Portland-Vancouver-Hillsboro, OR-WA (0.95)</w:t>
            </w:r>
          </w:p>
        </w:tc>
      </w:tr>
      <w:tr w:rsidR="00644B7D" w:rsidRPr="00335032" w14:paraId="43E8FD23" w14:textId="77777777" w:rsidTr="00E7334F">
        <w:tc>
          <w:tcPr>
            <w:tcW w:w="640" w:type="dxa"/>
          </w:tcPr>
          <w:p w14:paraId="6AD9C72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5</w:t>
            </w:r>
          </w:p>
        </w:tc>
        <w:tc>
          <w:tcPr>
            <w:tcW w:w="1515" w:type="dxa"/>
          </w:tcPr>
          <w:p w14:paraId="3FB9E88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(0.94)</w:t>
            </w:r>
          </w:p>
        </w:tc>
        <w:tc>
          <w:tcPr>
            <w:tcW w:w="1620" w:type="dxa"/>
          </w:tcPr>
          <w:p w14:paraId="5A1B4AD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(0.77)</w:t>
            </w:r>
          </w:p>
        </w:tc>
        <w:tc>
          <w:tcPr>
            <w:tcW w:w="1710" w:type="dxa"/>
          </w:tcPr>
          <w:p w14:paraId="6413810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Springfield, MA (0.10)</w:t>
            </w:r>
          </w:p>
        </w:tc>
        <w:tc>
          <w:tcPr>
            <w:tcW w:w="1710" w:type="dxa"/>
          </w:tcPr>
          <w:p w14:paraId="5B4A091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(0.85)</w:t>
            </w:r>
          </w:p>
        </w:tc>
        <w:tc>
          <w:tcPr>
            <w:tcW w:w="1710" w:type="dxa"/>
          </w:tcPr>
          <w:p w14:paraId="424AA00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Washington-Arlington-Alexandria, DC-VA-MD-WV (0.93)</w:t>
            </w:r>
          </w:p>
        </w:tc>
      </w:tr>
      <w:tr w:rsidR="00644B7D" w:rsidRPr="00335032" w14:paraId="1257BDAA" w14:textId="77777777" w:rsidTr="00E7334F">
        <w:tc>
          <w:tcPr>
            <w:tcW w:w="640" w:type="dxa"/>
          </w:tcPr>
          <w:p w14:paraId="5C43F91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6</w:t>
            </w:r>
          </w:p>
        </w:tc>
        <w:tc>
          <w:tcPr>
            <w:tcW w:w="1515" w:type="dxa"/>
          </w:tcPr>
          <w:p w14:paraId="36B7A4D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Atlanta-Sandy Springs-Marietta, GA (0.93)</w:t>
            </w:r>
          </w:p>
        </w:tc>
        <w:tc>
          <w:tcPr>
            <w:tcW w:w="1620" w:type="dxa"/>
          </w:tcPr>
          <w:p w14:paraId="3E3CDDB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(0.75)</w:t>
            </w:r>
          </w:p>
        </w:tc>
        <w:tc>
          <w:tcPr>
            <w:tcW w:w="1710" w:type="dxa"/>
          </w:tcPr>
          <w:p w14:paraId="4012CC7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Cincinnati-Middletown, OH-KY-IN (0.10)</w:t>
            </w:r>
          </w:p>
        </w:tc>
        <w:tc>
          <w:tcPr>
            <w:tcW w:w="1710" w:type="dxa"/>
          </w:tcPr>
          <w:p w14:paraId="2C3AA4E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Boston-Cambridge-Quincy, MA-NH (0.82)</w:t>
            </w:r>
          </w:p>
        </w:tc>
        <w:tc>
          <w:tcPr>
            <w:tcW w:w="1710" w:type="dxa"/>
          </w:tcPr>
          <w:p w14:paraId="60D625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(0.91)</w:t>
            </w:r>
          </w:p>
        </w:tc>
      </w:tr>
      <w:tr w:rsidR="00644B7D" w:rsidRPr="00335032" w14:paraId="6CA69E7B" w14:textId="77777777" w:rsidTr="00E7334F">
        <w:tc>
          <w:tcPr>
            <w:tcW w:w="640" w:type="dxa"/>
          </w:tcPr>
          <w:p w14:paraId="4B13CBB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7</w:t>
            </w:r>
          </w:p>
        </w:tc>
        <w:tc>
          <w:tcPr>
            <w:tcW w:w="1515" w:type="dxa"/>
          </w:tcPr>
          <w:p w14:paraId="517C1F9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Allentown-Bethlehem-Easton, PA-NJ (0.93)</w:t>
            </w:r>
          </w:p>
        </w:tc>
        <w:tc>
          <w:tcPr>
            <w:tcW w:w="1620" w:type="dxa"/>
          </w:tcPr>
          <w:p w14:paraId="21D4254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(0.73)</w:t>
            </w:r>
          </w:p>
        </w:tc>
        <w:tc>
          <w:tcPr>
            <w:tcW w:w="1710" w:type="dxa"/>
          </w:tcPr>
          <w:p w14:paraId="62A76E6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Providence-New Bedford-Fall River, RI-MA (0.09)</w:t>
            </w:r>
          </w:p>
        </w:tc>
        <w:tc>
          <w:tcPr>
            <w:tcW w:w="1710" w:type="dxa"/>
          </w:tcPr>
          <w:p w14:paraId="4C42920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New York-Northern New Jersey-Long Island, NY-NJ-PA (0.80)</w:t>
            </w:r>
          </w:p>
        </w:tc>
        <w:tc>
          <w:tcPr>
            <w:tcW w:w="1710" w:type="dxa"/>
          </w:tcPr>
          <w:p w14:paraId="30E8C3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Los Angeles-Long Beach-Santa Ana, CA (0.88)</w:t>
            </w:r>
          </w:p>
        </w:tc>
      </w:tr>
      <w:tr w:rsidR="00644B7D" w:rsidRPr="00335032" w14:paraId="5ACABCC1" w14:textId="77777777" w:rsidTr="00E7334F">
        <w:tc>
          <w:tcPr>
            <w:tcW w:w="640" w:type="dxa"/>
          </w:tcPr>
          <w:p w14:paraId="4F1AB31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8</w:t>
            </w:r>
          </w:p>
        </w:tc>
        <w:tc>
          <w:tcPr>
            <w:tcW w:w="1515" w:type="dxa"/>
          </w:tcPr>
          <w:p w14:paraId="4E55747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Harrisburg-Carlisle, PA (0.93)</w:t>
            </w:r>
          </w:p>
        </w:tc>
        <w:tc>
          <w:tcPr>
            <w:tcW w:w="1620" w:type="dxa"/>
          </w:tcPr>
          <w:p w14:paraId="3F61BD6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Providence-New Bedford-Fall River, RI-MA (0.71)</w:t>
            </w:r>
          </w:p>
        </w:tc>
        <w:tc>
          <w:tcPr>
            <w:tcW w:w="1710" w:type="dxa"/>
          </w:tcPr>
          <w:p w14:paraId="23AC709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Des Moines-West Des Moines, IA (0.09)</w:t>
            </w:r>
          </w:p>
        </w:tc>
        <w:tc>
          <w:tcPr>
            <w:tcW w:w="1710" w:type="dxa"/>
          </w:tcPr>
          <w:p w14:paraId="2968059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(0.73)</w:t>
            </w:r>
          </w:p>
        </w:tc>
        <w:tc>
          <w:tcPr>
            <w:tcW w:w="1710" w:type="dxa"/>
          </w:tcPr>
          <w:p w14:paraId="16ABE05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(0.85)</w:t>
            </w:r>
          </w:p>
        </w:tc>
      </w:tr>
      <w:tr w:rsidR="00644B7D" w:rsidRPr="00335032" w14:paraId="4307520B" w14:textId="77777777" w:rsidTr="00E7334F">
        <w:tc>
          <w:tcPr>
            <w:tcW w:w="640" w:type="dxa"/>
          </w:tcPr>
          <w:p w14:paraId="2EB80CB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9</w:t>
            </w:r>
          </w:p>
        </w:tc>
        <w:tc>
          <w:tcPr>
            <w:tcW w:w="1515" w:type="dxa"/>
          </w:tcPr>
          <w:p w14:paraId="65CC585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Dayton, OH (0.92)</w:t>
            </w:r>
          </w:p>
        </w:tc>
        <w:tc>
          <w:tcPr>
            <w:tcW w:w="1620" w:type="dxa"/>
          </w:tcPr>
          <w:p w14:paraId="6B66D51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Atlanta-Sandy Springs-Marietta, GA (0.67)</w:t>
            </w:r>
          </w:p>
        </w:tc>
        <w:tc>
          <w:tcPr>
            <w:tcW w:w="1710" w:type="dxa"/>
          </w:tcPr>
          <w:p w14:paraId="630A472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(0.08)</w:t>
            </w:r>
          </w:p>
        </w:tc>
        <w:tc>
          <w:tcPr>
            <w:tcW w:w="1710" w:type="dxa"/>
          </w:tcPr>
          <w:p w14:paraId="1C593F3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(0.73)</w:t>
            </w:r>
          </w:p>
        </w:tc>
        <w:tc>
          <w:tcPr>
            <w:tcW w:w="1710" w:type="dxa"/>
          </w:tcPr>
          <w:p w14:paraId="26DB383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(0.85)</w:t>
            </w:r>
          </w:p>
        </w:tc>
      </w:tr>
      <w:tr w:rsidR="00644B7D" w:rsidRPr="00335032" w14:paraId="3398DEEB" w14:textId="77777777" w:rsidTr="00E7334F">
        <w:tc>
          <w:tcPr>
            <w:tcW w:w="640" w:type="dxa"/>
          </w:tcPr>
          <w:p w14:paraId="0AE34A3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w:t>
            </w:r>
          </w:p>
        </w:tc>
        <w:tc>
          <w:tcPr>
            <w:tcW w:w="1515" w:type="dxa"/>
          </w:tcPr>
          <w:p w14:paraId="4CA2C7C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Columbus, OH (0.91)</w:t>
            </w:r>
          </w:p>
        </w:tc>
        <w:tc>
          <w:tcPr>
            <w:tcW w:w="1620" w:type="dxa"/>
          </w:tcPr>
          <w:p w14:paraId="1BD6955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Provo-Orem, UT (0.60)</w:t>
            </w:r>
          </w:p>
        </w:tc>
        <w:tc>
          <w:tcPr>
            <w:tcW w:w="1710" w:type="dxa"/>
          </w:tcPr>
          <w:p w14:paraId="122C6DC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Grand Rapids-Wyoming, MI</w:t>
            </w:r>
          </w:p>
        </w:tc>
        <w:tc>
          <w:tcPr>
            <w:tcW w:w="1710" w:type="dxa"/>
          </w:tcPr>
          <w:p w14:paraId="4D7CE54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(0.69)</w:t>
            </w:r>
          </w:p>
        </w:tc>
        <w:tc>
          <w:tcPr>
            <w:tcW w:w="1710" w:type="dxa"/>
          </w:tcPr>
          <w:p w14:paraId="4B73C6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(0.82)</w:t>
            </w:r>
          </w:p>
        </w:tc>
      </w:tr>
    </w:tbl>
    <w:p w14:paraId="0AACA694" w14:textId="77777777" w:rsidR="00644B7D" w:rsidRPr="00335032" w:rsidRDefault="00644B7D" w:rsidP="00644B7D">
      <w:pPr>
        <w:spacing w:after="0" w:line="480" w:lineRule="auto"/>
        <w:rPr>
          <w:rFonts w:ascii="Times New Roman" w:eastAsia="Calibri" w:hAnsi="Times New Roman" w:cs="Times New Roman"/>
          <w:sz w:val="20"/>
          <w:szCs w:val="20"/>
        </w:rPr>
      </w:pPr>
    </w:p>
    <w:p w14:paraId="51EAD8C5" w14:textId="77777777" w:rsidR="00644B7D" w:rsidRPr="00335032" w:rsidRDefault="00644B7D" w:rsidP="00644B7D">
      <w:pPr>
        <w:rPr>
          <w:rFonts w:ascii="Times New Roman" w:hAnsi="Times New Roman" w:cs="Times New Roman"/>
        </w:rPr>
      </w:pPr>
      <w:r w:rsidRPr="00335032">
        <w:rPr>
          <w:rFonts w:ascii="Times New Roman" w:hAnsi="Times New Roman" w:cs="Times New Roman"/>
          <w:sz w:val="24"/>
          <w:szCs w:val="24"/>
        </w:rPr>
        <w:t xml:space="preserve">The results in Table S4 illustrate some commonalities across the measures. For instance, MSAs that register as highly restrictive on the ZRI (e.g., Seattle-Tacoma-Bellevue, WA MSA) appear </w:t>
      </w:r>
      <w:r w:rsidRPr="00335032">
        <w:rPr>
          <w:rFonts w:ascii="Times New Roman" w:hAnsi="Times New Roman" w:cs="Times New Roman"/>
          <w:sz w:val="24"/>
          <w:szCs w:val="24"/>
        </w:rPr>
        <w:lastRenderedPageBreak/>
        <w:t xml:space="preserve">to have some of the highest values across several of these measures. However, other MSAs with far lower ZRI scores (e.g., Columbus, OH MSA,  San Antonio-New Braunfels, TX MSA) appear throughout these listings. </w:t>
      </w:r>
      <w:r w:rsidRPr="00335032">
        <w:rPr>
          <w:rFonts w:ascii="Times New Roman" w:hAnsi="Times New Roman" w:cs="Times New Roman"/>
        </w:rPr>
        <w:t xml:space="preserve">Therefore, while a particular subindex may correlate highly with the ZRI, relying on one subindex alone to capture something as complex as exclusionary zoning can lead to fairly different conclusions depending on the subindex. This suggests to us the necessity of combining these subindices into a summary index such as the ZRI. </w:t>
      </w:r>
    </w:p>
    <w:p w14:paraId="1C7F4100" w14:textId="77777777" w:rsidR="00644B7D" w:rsidRPr="00335032" w:rsidRDefault="00644B7D" w:rsidP="00644B7D">
      <w:pPr>
        <w:spacing w:after="0" w:line="480" w:lineRule="auto"/>
        <w:rPr>
          <w:rFonts w:ascii="Times New Roman" w:eastAsia="Calibri" w:hAnsi="Times New Roman" w:cs="Times New Roman"/>
          <w:sz w:val="20"/>
          <w:szCs w:val="20"/>
        </w:rPr>
      </w:pPr>
    </w:p>
    <w:p w14:paraId="58ED708B" w14:textId="536F5BCA" w:rsidR="00644B7D" w:rsidRPr="00335032" w:rsidRDefault="00644B7D" w:rsidP="00644B7D">
      <w:pPr>
        <w:spacing w:after="0" w:line="480" w:lineRule="auto"/>
        <w:rPr>
          <w:rFonts w:ascii="Times New Roman" w:eastAsia="Calibri" w:hAnsi="Times New Roman" w:cs="Times New Roman"/>
          <w:sz w:val="20"/>
          <w:szCs w:val="20"/>
        </w:rPr>
      </w:pPr>
    </w:p>
    <w:p w14:paraId="722129B9" w14:textId="7D4A9A23" w:rsidR="00644B7D" w:rsidRPr="00335032" w:rsidRDefault="00644B7D" w:rsidP="00644B7D">
      <w:pPr>
        <w:spacing w:after="0" w:line="480" w:lineRule="auto"/>
        <w:rPr>
          <w:rFonts w:ascii="Times New Roman" w:eastAsia="Calibri" w:hAnsi="Times New Roman" w:cs="Times New Roman"/>
          <w:sz w:val="20"/>
          <w:szCs w:val="20"/>
        </w:rPr>
      </w:pPr>
    </w:p>
    <w:p w14:paraId="32081B57" w14:textId="7C0D9E5C" w:rsidR="00644B7D" w:rsidRPr="00335032" w:rsidRDefault="00644B7D" w:rsidP="00644B7D">
      <w:pPr>
        <w:spacing w:after="0" w:line="480" w:lineRule="auto"/>
        <w:rPr>
          <w:rFonts w:ascii="Times New Roman" w:eastAsia="Calibri" w:hAnsi="Times New Roman" w:cs="Times New Roman"/>
          <w:sz w:val="20"/>
          <w:szCs w:val="20"/>
        </w:rPr>
      </w:pPr>
    </w:p>
    <w:p w14:paraId="318133BF" w14:textId="44AAF7D5" w:rsidR="00644B7D" w:rsidRPr="00335032" w:rsidRDefault="00644B7D" w:rsidP="00644B7D">
      <w:pPr>
        <w:spacing w:after="0" w:line="480" w:lineRule="auto"/>
        <w:rPr>
          <w:rFonts w:ascii="Times New Roman" w:eastAsia="Calibri" w:hAnsi="Times New Roman" w:cs="Times New Roman"/>
          <w:sz w:val="20"/>
          <w:szCs w:val="20"/>
        </w:rPr>
      </w:pPr>
    </w:p>
    <w:p w14:paraId="6DF29139" w14:textId="0DBA38A9" w:rsidR="00644B7D" w:rsidRPr="00335032" w:rsidRDefault="00644B7D" w:rsidP="00644B7D">
      <w:pPr>
        <w:spacing w:after="0" w:line="480" w:lineRule="auto"/>
        <w:rPr>
          <w:rFonts w:ascii="Times New Roman" w:eastAsia="Calibri" w:hAnsi="Times New Roman" w:cs="Times New Roman"/>
          <w:sz w:val="20"/>
          <w:szCs w:val="20"/>
        </w:rPr>
      </w:pPr>
    </w:p>
    <w:p w14:paraId="3C1C7619" w14:textId="2AEB7A98" w:rsidR="00644B7D" w:rsidRPr="00335032" w:rsidRDefault="00644B7D" w:rsidP="00644B7D">
      <w:pPr>
        <w:spacing w:after="0" w:line="480" w:lineRule="auto"/>
        <w:rPr>
          <w:rFonts w:ascii="Times New Roman" w:eastAsia="Calibri" w:hAnsi="Times New Roman" w:cs="Times New Roman"/>
          <w:sz w:val="20"/>
          <w:szCs w:val="20"/>
        </w:rPr>
      </w:pPr>
    </w:p>
    <w:p w14:paraId="26CAE712" w14:textId="510F6CD0" w:rsidR="00644B7D" w:rsidRPr="00335032" w:rsidRDefault="00644B7D" w:rsidP="00644B7D">
      <w:pPr>
        <w:spacing w:after="0" w:line="480" w:lineRule="auto"/>
        <w:rPr>
          <w:rFonts w:ascii="Times New Roman" w:eastAsia="Calibri" w:hAnsi="Times New Roman" w:cs="Times New Roman"/>
          <w:sz w:val="20"/>
          <w:szCs w:val="20"/>
        </w:rPr>
      </w:pPr>
    </w:p>
    <w:p w14:paraId="57CE4825" w14:textId="1FB29274" w:rsidR="00644B7D" w:rsidRPr="00335032" w:rsidRDefault="00644B7D" w:rsidP="00644B7D">
      <w:pPr>
        <w:spacing w:after="0" w:line="480" w:lineRule="auto"/>
        <w:rPr>
          <w:rFonts w:ascii="Times New Roman" w:eastAsia="Calibri" w:hAnsi="Times New Roman" w:cs="Times New Roman"/>
          <w:sz w:val="20"/>
          <w:szCs w:val="20"/>
        </w:rPr>
      </w:pPr>
    </w:p>
    <w:p w14:paraId="20A92BE8" w14:textId="15062CDD" w:rsidR="00644B7D" w:rsidRPr="00335032" w:rsidRDefault="00644B7D" w:rsidP="00644B7D">
      <w:pPr>
        <w:spacing w:after="0" w:line="480" w:lineRule="auto"/>
        <w:rPr>
          <w:rFonts w:ascii="Times New Roman" w:eastAsia="Calibri" w:hAnsi="Times New Roman" w:cs="Times New Roman"/>
          <w:sz w:val="20"/>
          <w:szCs w:val="20"/>
        </w:rPr>
      </w:pPr>
    </w:p>
    <w:p w14:paraId="28F3DC00" w14:textId="77777777" w:rsidR="00644B7D" w:rsidRPr="00335032" w:rsidRDefault="00644B7D" w:rsidP="00644B7D">
      <w:pPr>
        <w:spacing w:after="0" w:line="480" w:lineRule="auto"/>
        <w:rPr>
          <w:rFonts w:ascii="Times New Roman" w:eastAsia="Calibri" w:hAnsi="Times New Roman" w:cs="Times New Roman"/>
          <w:sz w:val="20"/>
          <w:szCs w:val="20"/>
        </w:rPr>
      </w:pPr>
    </w:p>
    <w:p w14:paraId="795C3AEF" w14:textId="77777777" w:rsidR="001140C0" w:rsidRPr="00335032" w:rsidRDefault="001140C0" w:rsidP="00644B7D">
      <w:pPr>
        <w:spacing w:after="0" w:line="480" w:lineRule="auto"/>
        <w:rPr>
          <w:rFonts w:ascii="Times New Roman" w:eastAsia="Calibri" w:hAnsi="Times New Roman" w:cs="Times New Roman"/>
          <w:b/>
          <w:sz w:val="24"/>
          <w:szCs w:val="24"/>
        </w:rPr>
      </w:pPr>
    </w:p>
    <w:p w14:paraId="5E39D5AD" w14:textId="77777777" w:rsidR="001140C0" w:rsidRPr="00335032" w:rsidRDefault="001140C0" w:rsidP="00644B7D">
      <w:pPr>
        <w:spacing w:after="0" w:line="480" w:lineRule="auto"/>
        <w:rPr>
          <w:rFonts w:ascii="Times New Roman" w:eastAsia="Calibri" w:hAnsi="Times New Roman" w:cs="Times New Roman"/>
          <w:b/>
          <w:sz w:val="24"/>
          <w:szCs w:val="24"/>
        </w:rPr>
      </w:pPr>
    </w:p>
    <w:p w14:paraId="52027FD7" w14:textId="77777777" w:rsidR="001140C0" w:rsidRPr="00335032" w:rsidRDefault="001140C0" w:rsidP="00644B7D">
      <w:pPr>
        <w:spacing w:after="0" w:line="480" w:lineRule="auto"/>
        <w:rPr>
          <w:rFonts w:ascii="Times New Roman" w:eastAsia="Calibri" w:hAnsi="Times New Roman" w:cs="Times New Roman"/>
          <w:b/>
          <w:sz w:val="24"/>
          <w:szCs w:val="24"/>
        </w:rPr>
      </w:pPr>
    </w:p>
    <w:p w14:paraId="2BB18CD7" w14:textId="77777777" w:rsidR="001140C0" w:rsidRPr="00335032" w:rsidRDefault="001140C0" w:rsidP="00644B7D">
      <w:pPr>
        <w:spacing w:after="0" w:line="480" w:lineRule="auto"/>
        <w:rPr>
          <w:rFonts w:ascii="Times New Roman" w:eastAsia="Calibri" w:hAnsi="Times New Roman" w:cs="Times New Roman"/>
          <w:b/>
          <w:sz w:val="24"/>
          <w:szCs w:val="24"/>
        </w:rPr>
      </w:pPr>
    </w:p>
    <w:p w14:paraId="00D0BA7D" w14:textId="77777777" w:rsidR="001140C0" w:rsidRPr="00335032" w:rsidRDefault="001140C0" w:rsidP="00644B7D">
      <w:pPr>
        <w:spacing w:after="0" w:line="480" w:lineRule="auto"/>
        <w:rPr>
          <w:rFonts w:ascii="Times New Roman" w:eastAsia="Calibri" w:hAnsi="Times New Roman" w:cs="Times New Roman"/>
          <w:b/>
          <w:sz w:val="24"/>
          <w:szCs w:val="24"/>
        </w:rPr>
      </w:pPr>
    </w:p>
    <w:p w14:paraId="22641EAD" w14:textId="77777777" w:rsidR="001140C0" w:rsidRPr="00335032" w:rsidRDefault="001140C0" w:rsidP="00644B7D">
      <w:pPr>
        <w:spacing w:after="0" w:line="480" w:lineRule="auto"/>
        <w:rPr>
          <w:rFonts w:ascii="Times New Roman" w:eastAsia="Calibri" w:hAnsi="Times New Roman" w:cs="Times New Roman"/>
          <w:b/>
          <w:sz w:val="24"/>
          <w:szCs w:val="24"/>
        </w:rPr>
      </w:pPr>
    </w:p>
    <w:p w14:paraId="02CDB6DE" w14:textId="77777777" w:rsidR="001140C0" w:rsidRPr="00335032" w:rsidRDefault="001140C0" w:rsidP="00644B7D">
      <w:pPr>
        <w:spacing w:after="0" w:line="480" w:lineRule="auto"/>
        <w:rPr>
          <w:rFonts w:ascii="Times New Roman" w:eastAsia="Calibri" w:hAnsi="Times New Roman" w:cs="Times New Roman"/>
          <w:b/>
          <w:sz w:val="24"/>
          <w:szCs w:val="24"/>
        </w:rPr>
      </w:pPr>
    </w:p>
    <w:p w14:paraId="2BF20A3B" w14:textId="77777777" w:rsidR="001140C0" w:rsidRPr="00335032" w:rsidRDefault="001140C0" w:rsidP="00644B7D">
      <w:pPr>
        <w:spacing w:after="0" w:line="480" w:lineRule="auto"/>
        <w:rPr>
          <w:rFonts w:ascii="Times New Roman" w:eastAsia="Calibri" w:hAnsi="Times New Roman" w:cs="Times New Roman"/>
          <w:b/>
          <w:sz w:val="24"/>
          <w:szCs w:val="24"/>
        </w:rPr>
      </w:pPr>
    </w:p>
    <w:p w14:paraId="4F437D49" w14:textId="77777777" w:rsidR="001140C0" w:rsidRPr="00335032" w:rsidRDefault="001140C0" w:rsidP="00644B7D">
      <w:pPr>
        <w:spacing w:after="0" w:line="480" w:lineRule="auto"/>
        <w:rPr>
          <w:rFonts w:ascii="Times New Roman" w:eastAsia="Calibri" w:hAnsi="Times New Roman" w:cs="Times New Roman"/>
          <w:b/>
          <w:sz w:val="24"/>
          <w:szCs w:val="24"/>
        </w:rPr>
      </w:pPr>
    </w:p>
    <w:p w14:paraId="501A7E66" w14:textId="77777777" w:rsidR="001140C0" w:rsidRPr="00335032" w:rsidRDefault="001140C0" w:rsidP="00644B7D">
      <w:pPr>
        <w:spacing w:after="0" w:line="480" w:lineRule="auto"/>
        <w:rPr>
          <w:rFonts w:ascii="Times New Roman" w:eastAsia="Calibri" w:hAnsi="Times New Roman" w:cs="Times New Roman"/>
          <w:b/>
          <w:sz w:val="24"/>
          <w:szCs w:val="24"/>
        </w:rPr>
      </w:pPr>
    </w:p>
    <w:p w14:paraId="11F2BC8C" w14:textId="77777777" w:rsidR="001140C0" w:rsidRPr="00335032" w:rsidRDefault="001140C0" w:rsidP="00644B7D">
      <w:pPr>
        <w:spacing w:after="0" w:line="480" w:lineRule="auto"/>
        <w:rPr>
          <w:rFonts w:ascii="Times New Roman" w:eastAsia="Calibri" w:hAnsi="Times New Roman" w:cs="Times New Roman"/>
          <w:b/>
          <w:sz w:val="24"/>
          <w:szCs w:val="24"/>
        </w:rPr>
      </w:pPr>
    </w:p>
    <w:p w14:paraId="280372A4" w14:textId="2B19A59A"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S5.</w:t>
      </w:r>
      <w:r w:rsidRPr="00335032">
        <w:rPr>
          <w:rFonts w:ascii="Times New Roman" w:eastAsia="Calibri" w:hAnsi="Times New Roman" w:cs="Times New Roman"/>
          <w:sz w:val="24"/>
          <w:szCs w:val="24"/>
        </w:rPr>
        <w:t xml:space="preserve"> Logistic regression results for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1677"/>
        <w:gridCol w:w="1887"/>
        <w:gridCol w:w="1677"/>
        <w:gridCol w:w="1902"/>
      </w:tblGrid>
      <w:tr w:rsidR="00644B7D" w:rsidRPr="00335032" w14:paraId="09D334C5" w14:textId="77777777" w:rsidTr="00E7334F">
        <w:trPr>
          <w:tblCellSpacing w:w="15" w:type="dxa"/>
        </w:trPr>
        <w:tc>
          <w:tcPr>
            <w:tcW w:w="0" w:type="auto"/>
            <w:gridSpan w:val="5"/>
            <w:tcBorders>
              <w:bottom w:val="single" w:sz="6" w:space="0" w:color="000000"/>
            </w:tcBorders>
            <w:vAlign w:val="center"/>
            <w:hideMark/>
          </w:tcPr>
          <w:p w14:paraId="2751D7DE" w14:textId="77777777" w:rsidR="00644B7D" w:rsidRPr="00335032" w:rsidRDefault="00644B7D" w:rsidP="00644B7D">
            <w:pPr>
              <w:spacing w:after="0" w:line="240" w:lineRule="auto"/>
              <w:rPr>
                <w:rFonts w:ascii="Times New Roman" w:eastAsia="Times New Roman" w:hAnsi="Times New Roman" w:cs="Times New Roman"/>
                <w:sz w:val="18"/>
                <w:szCs w:val="18"/>
              </w:rPr>
            </w:pPr>
          </w:p>
        </w:tc>
      </w:tr>
      <w:tr w:rsidR="00644B7D" w:rsidRPr="00335032" w14:paraId="7A764644" w14:textId="77777777" w:rsidTr="00E7334F">
        <w:trPr>
          <w:tblCellSpacing w:w="15" w:type="dxa"/>
        </w:trPr>
        <w:tc>
          <w:tcPr>
            <w:tcW w:w="0" w:type="auto"/>
            <w:vAlign w:val="center"/>
            <w:hideMark/>
          </w:tcPr>
          <w:p w14:paraId="069C2A3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vAlign w:val="center"/>
            <w:hideMark/>
          </w:tcPr>
          <w:p w14:paraId="300CE9E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i/>
                <w:iCs/>
                <w:sz w:val="18"/>
                <w:szCs w:val="18"/>
              </w:rPr>
              <w:t>Dependent variable:</w:t>
            </w:r>
          </w:p>
        </w:tc>
      </w:tr>
      <w:tr w:rsidR="00644B7D" w:rsidRPr="00335032" w14:paraId="6FFEEBB8" w14:textId="77777777" w:rsidTr="00E7334F">
        <w:trPr>
          <w:tblCellSpacing w:w="15" w:type="dxa"/>
        </w:trPr>
        <w:tc>
          <w:tcPr>
            <w:tcW w:w="0" w:type="auto"/>
            <w:vAlign w:val="center"/>
            <w:hideMark/>
          </w:tcPr>
          <w:p w14:paraId="2672888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tcBorders>
              <w:bottom w:val="single" w:sz="6" w:space="0" w:color="000000"/>
            </w:tcBorders>
            <w:vAlign w:val="center"/>
            <w:hideMark/>
          </w:tcPr>
          <w:p w14:paraId="12EB82A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7C6E2CA1" w14:textId="77777777" w:rsidTr="00E7334F">
        <w:trPr>
          <w:tblCellSpacing w:w="15" w:type="dxa"/>
        </w:trPr>
        <w:tc>
          <w:tcPr>
            <w:tcW w:w="0" w:type="auto"/>
            <w:vAlign w:val="center"/>
            <w:hideMark/>
          </w:tcPr>
          <w:p w14:paraId="21A5E9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vAlign w:val="center"/>
            <w:hideMark/>
          </w:tcPr>
          <w:p w14:paraId="74FBD6D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In final sample</w:t>
            </w:r>
          </w:p>
        </w:tc>
      </w:tr>
      <w:tr w:rsidR="00644B7D" w:rsidRPr="00335032" w14:paraId="2E204D50" w14:textId="77777777" w:rsidTr="00E7334F">
        <w:trPr>
          <w:tblCellSpacing w:w="15" w:type="dxa"/>
        </w:trPr>
        <w:tc>
          <w:tcPr>
            <w:tcW w:w="0" w:type="auto"/>
            <w:vAlign w:val="center"/>
            <w:hideMark/>
          </w:tcPr>
          <w:p w14:paraId="29B3089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45E26B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All municipalities (2005-2009)</w:t>
            </w:r>
          </w:p>
        </w:tc>
        <w:tc>
          <w:tcPr>
            <w:tcW w:w="0" w:type="auto"/>
            <w:vAlign w:val="center"/>
            <w:hideMark/>
          </w:tcPr>
          <w:p w14:paraId="3AFFC60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Municipalities in an MSA (2005-2009)</w:t>
            </w:r>
          </w:p>
        </w:tc>
        <w:tc>
          <w:tcPr>
            <w:tcW w:w="0" w:type="auto"/>
            <w:vAlign w:val="center"/>
            <w:hideMark/>
          </w:tcPr>
          <w:p w14:paraId="015C869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All municipalities (2015-2019)</w:t>
            </w:r>
          </w:p>
        </w:tc>
        <w:tc>
          <w:tcPr>
            <w:tcW w:w="0" w:type="auto"/>
            <w:vAlign w:val="center"/>
            <w:hideMark/>
          </w:tcPr>
          <w:p w14:paraId="55A4CB8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Municipalities in an MSA (2015-2019)</w:t>
            </w:r>
          </w:p>
        </w:tc>
      </w:tr>
      <w:tr w:rsidR="00644B7D" w:rsidRPr="00335032" w14:paraId="255FABE7" w14:textId="77777777" w:rsidTr="00E7334F">
        <w:trPr>
          <w:tblCellSpacing w:w="15" w:type="dxa"/>
        </w:trPr>
        <w:tc>
          <w:tcPr>
            <w:tcW w:w="0" w:type="auto"/>
            <w:gridSpan w:val="5"/>
            <w:tcBorders>
              <w:bottom w:val="single" w:sz="6" w:space="0" w:color="000000"/>
            </w:tcBorders>
            <w:vAlign w:val="center"/>
            <w:hideMark/>
          </w:tcPr>
          <w:p w14:paraId="2842CA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BAAE1E5" w14:textId="77777777" w:rsidTr="00E7334F">
        <w:trPr>
          <w:tblCellSpacing w:w="15" w:type="dxa"/>
        </w:trPr>
        <w:tc>
          <w:tcPr>
            <w:tcW w:w="0" w:type="auto"/>
            <w:vAlign w:val="center"/>
            <w:hideMark/>
          </w:tcPr>
          <w:p w14:paraId="62528C1E"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Total population</w:t>
            </w:r>
          </w:p>
        </w:tc>
        <w:tc>
          <w:tcPr>
            <w:tcW w:w="0" w:type="auto"/>
            <w:vAlign w:val="center"/>
            <w:hideMark/>
          </w:tcPr>
          <w:p w14:paraId="13D634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0.870</w:t>
            </w:r>
            <w:r w:rsidRPr="00335032">
              <w:rPr>
                <w:rFonts w:ascii="Times New Roman" w:eastAsia="Times New Roman" w:hAnsi="Times New Roman" w:cs="Times New Roman"/>
                <w:sz w:val="18"/>
                <w:szCs w:val="18"/>
                <w:vertAlign w:val="superscript"/>
              </w:rPr>
              <w:t>***</w:t>
            </w:r>
          </w:p>
        </w:tc>
        <w:tc>
          <w:tcPr>
            <w:tcW w:w="0" w:type="auto"/>
            <w:vAlign w:val="center"/>
            <w:hideMark/>
          </w:tcPr>
          <w:p w14:paraId="1BA968B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0.615</w:t>
            </w:r>
            <w:r w:rsidRPr="00335032">
              <w:rPr>
                <w:rFonts w:ascii="Times New Roman" w:eastAsia="Times New Roman" w:hAnsi="Times New Roman" w:cs="Times New Roman"/>
                <w:sz w:val="18"/>
                <w:szCs w:val="18"/>
                <w:vertAlign w:val="superscript"/>
              </w:rPr>
              <w:t>***</w:t>
            </w:r>
          </w:p>
        </w:tc>
        <w:tc>
          <w:tcPr>
            <w:tcW w:w="0" w:type="auto"/>
            <w:vAlign w:val="center"/>
            <w:hideMark/>
          </w:tcPr>
          <w:p w14:paraId="4D23409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0.706</w:t>
            </w:r>
            <w:r w:rsidRPr="00335032">
              <w:rPr>
                <w:rFonts w:ascii="Times New Roman" w:eastAsia="Times New Roman" w:hAnsi="Times New Roman" w:cs="Times New Roman"/>
                <w:sz w:val="18"/>
                <w:szCs w:val="18"/>
                <w:vertAlign w:val="superscript"/>
              </w:rPr>
              <w:t>***</w:t>
            </w:r>
          </w:p>
        </w:tc>
        <w:tc>
          <w:tcPr>
            <w:tcW w:w="0" w:type="auto"/>
            <w:vAlign w:val="center"/>
            <w:hideMark/>
          </w:tcPr>
          <w:p w14:paraId="5C71FAA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0.511</w:t>
            </w:r>
            <w:r w:rsidRPr="00335032">
              <w:rPr>
                <w:rFonts w:ascii="Times New Roman" w:eastAsia="Times New Roman" w:hAnsi="Times New Roman" w:cs="Times New Roman"/>
                <w:sz w:val="18"/>
                <w:szCs w:val="18"/>
                <w:vertAlign w:val="superscript"/>
              </w:rPr>
              <w:t>***</w:t>
            </w:r>
          </w:p>
        </w:tc>
      </w:tr>
      <w:tr w:rsidR="00644B7D" w:rsidRPr="00335032" w14:paraId="492C4856" w14:textId="77777777" w:rsidTr="00E7334F">
        <w:trPr>
          <w:tblCellSpacing w:w="15" w:type="dxa"/>
        </w:trPr>
        <w:tc>
          <w:tcPr>
            <w:tcW w:w="0" w:type="auto"/>
            <w:vAlign w:val="center"/>
            <w:hideMark/>
          </w:tcPr>
          <w:p w14:paraId="05A8CB4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78A7E3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(0.065)</w:t>
            </w:r>
          </w:p>
        </w:tc>
        <w:tc>
          <w:tcPr>
            <w:tcW w:w="0" w:type="auto"/>
            <w:vAlign w:val="center"/>
            <w:hideMark/>
          </w:tcPr>
          <w:p w14:paraId="5719CD2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(0.058)</w:t>
            </w:r>
          </w:p>
        </w:tc>
        <w:tc>
          <w:tcPr>
            <w:tcW w:w="0" w:type="auto"/>
            <w:vAlign w:val="center"/>
            <w:hideMark/>
          </w:tcPr>
          <w:p w14:paraId="13DFB5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(0.059)</w:t>
            </w:r>
          </w:p>
        </w:tc>
        <w:tc>
          <w:tcPr>
            <w:tcW w:w="0" w:type="auto"/>
            <w:vAlign w:val="center"/>
            <w:hideMark/>
          </w:tcPr>
          <w:p w14:paraId="0851E78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(0.054)</w:t>
            </w:r>
          </w:p>
        </w:tc>
      </w:tr>
      <w:tr w:rsidR="00644B7D" w:rsidRPr="00335032" w14:paraId="04D27AAE" w14:textId="77777777" w:rsidTr="00E7334F">
        <w:trPr>
          <w:tblCellSpacing w:w="15" w:type="dxa"/>
        </w:trPr>
        <w:tc>
          <w:tcPr>
            <w:tcW w:w="0" w:type="auto"/>
            <w:vAlign w:val="center"/>
            <w:hideMark/>
          </w:tcPr>
          <w:p w14:paraId="42DFF5B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4E24B98"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187ABF1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801AA0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2E48BC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668A9CB5" w14:textId="77777777" w:rsidTr="00E7334F">
        <w:trPr>
          <w:tblCellSpacing w:w="15" w:type="dxa"/>
        </w:trPr>
        <w:tc>
          <w:tcPr>
            <w:tcW w:w="0" w:type="auto"/>
            <w:vAlign w:val="center"/>
            <w:hideMark/>
          </w:tcPr>
          <w:p w14:paraId="19B91997"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homes that are owner occupied</w:t>
            </w:r>
          </w:p>
        </w:tc>
        <w:tc>
          <w:tcPr>
            <w:tcW w:w="0" w:type="auto"/>
            <w:vAlign w:val="center"/>
            <w:hideMark/>
          </w:tcPr>
          <w:p w14:paraId="6D17680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-4.033</w:t>
            </w:r>
            <w:r w:rsidRPr="00335032">
              <w:rPr>
                <w:rFonts w:ascii="Times New Roman" w:eastAsia="Times New Roman" w:hAnsi="Times New Roman" w:cs="Times New Roman"/>
                <w:sz w:val="18"/>
                <w:szCs w:val="18"/>
                <w:vertAlign w:val="superscript"/>
              </w:rPr>
              <w:t>***</w:t>
            </w:r>
          </w:p>
        </w:tc>
        <w:tc>
          <w:tcPr>
            <w:tcW w:w="0" w:type="auto"/>
            <w:vAlign w:val="center"/>
            <w:hideMark/>
          </w:tcPr>
          <w:p w14:paraId="35FFD5C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-3.358</w:t>
            </w:r>
            <w:r w:rsidRPr="00335032">
              <w:rPr>
                <w:rFonts w:ascii="Times New Roman" w:eastAsia="Times New Roman" w:hAnsi="Times New Roman" w:cs="Times New Roman"/>
                <w:sz w:val="18"/>
                <w:szCs w:val="18"/>
                <w:vertAlign w:val="superscript"/>
              </w:rPr>
              <w:t>***</w:t>
            </w:r>
          </w:p>
        </w:tc>
        <w:tc>
          <w:tcPr>
            <w:tcW w:w="0" w:type="auto"/>
            <w:vAlign w:val="center"/>
            <w:hideMark/>
          </w:tcPr>
          <w:p w14:paraId="32B7F98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-4.418</w:t>
            </w:r>
            <w:r w:rsidRPr="00335032">
              <w:rPr>
                <w:rFonts w:ascii="Times New Roman" w:eastAsia="Times New Roman" w:hAnsi="Times New Roman" w:cs="Times New Roman"/>
                <w:sz w:val="18"/>
                <w:szCs w:val="18"/>
                <w:vertAlign w:val="superscript"/>
              </w:rPr>
              <w:t>***</w:t>
            </w:r>
          </w:p>
        </w:tc>
        <w:tc>
          <w:tcPr>
            <w:tcW w:w="0" w:type="auto"/>
            <w:vAlign w:val="center"/>
            <w:hideMark/>
          </w:tcPr>
          <w:p w14:paraId="56ED3EA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-3.355</w:t>
            </w:r>
            <w:r w:rsidRPr="00335032">
              <w:rPr>
                <w:rFonts w:ascii="Times New Roman" w:eastAsia="Times New Roman" w:hAnsi="Times New Roman" w:cs="Times New Roman"/>
                <w:sz w:val="18"/>
                <w:szCs w:val="18"/>
                <w:vertAlign w:val="superscript"/>
              </w:rPr>
              <w:t>***</w:t>
            </w:r>
          </w:p>
        </w:tc>
      </w:tr>
      <w:tr w:rsidR="00644B7D" w:rsidRPr="00335032" w14:paraId="22F17A99" w14:textId="77777777" w:rsidTr="00E7334F">
        <w:trPr>
          <w:tblCellSpacing w:w="15" w:type="dxa"/>
        </w:trPr>
        <w:tc>
          <w:tcPr>
            <w:tcW w:w="0" w:type="auto"/>
            <w:vAlign w:val="center"/>
            <w:hideMark/>
          </w:tcPr>
          <w:p w14:paraId="6EAAC37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81A764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(0.150)</w:t>
            </w:r>
          </w:p>
        </w:tc>
        <w:tc>
          <w:tcPr>
            <w:tcW w:w="0" w:type="auto"/>
            <w:vAlign w:val="center"/>
            <w:hideMark/>
          </w:tcPr>
          <w:p w14:paraId="1A38D3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(0.187)</w:t>
            </w:r>
          </w:p>
        </w:tc>
        <w:tc>
          <w:tcPr>
            <w:tcW w:w="0" w:type="auto"/>
            <w:vAlign w:val="center"/>
            <w:hideMark/>
          </w:tcPr>
          <w:p w14:paraId="111D185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(0.161)</w:t>
            </w:r>
          </w:p>
        </w:tc>
        <w:tc>
          <w:tcPr>
            <w:tcW w:w="0" w:type="auto"/>
            <w:vAlign w:val="center"/>
            <w:hideMark/>
          </w:tcPr>
          <w:p w14:paraId="243BBDE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(0.195)</w:t>
            </w:r>
          </w:p>
        </w:tc>
      </w:tr>
      <w:tr w:rsidR="00644B7D" w:rsidRPr="00335032" w14:paraId="14B18079" w14:textId="77777777" w:rsidTr="00E7334F">
        <w:trPr>
          <w:tblCellSpacing w:w="15" w:type="dxa"/>
        </w:trPr>
        <w:tc>
          <w:tcPr>
            <w:tcW w:w="0" w:type="auto"/>
            <w:vAlign w:val="center"/>
            <w:hideMark/>
          </w:tcPr>
          <w:p w14:paraId="24F9091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0DE721A"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0CC128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FEECE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77528F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0AA00AF5" w14:textId="77777777" w:rsidTr="00E7334F">
        <w:trPr>
          <w:tblCellSpacing w:w="15" w:type="dxa"/>
        </w:trPr>
        <w:tc>
          <w:tcPr>
            <w:tcW w:w="0" w:type="auto"/>
            <w:vAlign w:val="center"/>
            <w:hideMark/>
          </w:tcPr>
          <w:p w14:paraId="789A554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65 years of age and older</w:t>
            </w:r>
          </w:p>
        </w:tc>
        <w:tc>
          <w:tcPr>
            <w:tcW w:w="0" w:type="auto"/>
            <w:vAlign w:val="center"/>
            <w:hideMark/>
          </w:tcPr>
          <w:p w14:paraId="53C6954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0.046</w:t>
            </w:r>
          </w:p>
        </w:tc>
        <w:tc>
          <w:tcPr>
            <w:tcW w:w="0" w:type="auto"/>
            <w:vAlign w:val="center"/>
            <w:hideMark/>
          </w:tcPr>
          <w:p w14:paraId="0458C04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0.856</w:t>
            </w:r>
            <w:r w:rsidRPr="00335032">
              <w:rPr>
                <w:rFonts w:ascii="Times New Roman" w:eastAsia="Times New Roman" w:hAnsi="Times New Roman" w:cs="Times New Roman"/>
                <w:sz w:val="18"/>
                <w:szCs w:val="18"/>
                <w:vertAlign w:val="superscript"/>
              </w:rPr>
              <w:t>*</w:t>
            </w:r>
          </w:p>
        </w:tc>
        <w:tc>
          <w:tcPr>
            <w:tcW w:w="0" w:type="auto"/>
            <w:vAlign w:val="center"/>
            <w:hideMark/>
          </w:tcPr>
          <w:p w14:paraId="5BD3FE5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-0.797</w:t>
            </w:r>
            <w:r w:rsidRPr="00335032">
              <w:rPr>
                <w:rFonts w:ascii="Times New Roman" w:eastAsia="Times New Roman" w:hAnsi="Times New Roman" w:cs="Times New Roman"/>
                <w:sz w:val="18"/>
                <w:szCs w:val="18"/>
                <w:vertAlign w:val="superscript"/>
              </w:rPr>
              <w:t>**</w:t>
            </w:r>
          </w:p>
        </w:tc>
        <w:tc>
          <w:tcPr>
            <w:tcW w:w="0" w:type="auto"/>
            <w:vAlign w:val="center"/>
            <w:hideMark/>
          </w:tcPr>
          <w:p w14:paraId="6ED2089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0.420</w:t>
            </w:r>
          </w:p>
        </w:tc>
      </w:tr>
      <w:tr w:rsidR="00644B7D" w:rsidRPr="00335032" w14:paraId="243C56C3" w14:textId="77777777" w:rsidTr="00E7334F">
        <w:trPr>
          <w:tblCellSpacing w:w="15" w:type="dxa"/>
        </w:trPr>
        <w:tc>
          <w:tcPr>
            <w:tcW w:w="0" w:type="auto"/>
            <w:vAlign w:val="center"/>
            <w:hideMark/>
          </w:tcPr>
          <w:p w14:paraId="38D10FC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75716A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(0.336)</w:t>
            </w:r>
          </w:p>
        </w:tc>
        <w:tc>
          <w:tcPr>
            <w:tcW w:w="0" w:type="auto"/>
            <w:vAlign w:val="center"/>
            <w:hideMark/>
          </w:tcPr>
          <w:p w14:paraId="730D5BA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(0.456)</w:t>
            </w:r>
          </w:p>
        </w:tc>
        <w:tc>
          <w:tcPr>
            <w:tcW w:w="0" w:type="auto"/>
            <w:vAlign w:val="center"/>
            <w:hideMark/>
          </w:tcPr>
          <w:p w14:paraId="62815AE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(0.372)</w:t>
            </w:r>
          </w:p>
        </w:tc>
        <w:tc>
          <w:tcPr>
            <w:tcW w:w="0" w:type="auto"/>
            <w:vAlign w:val="center"/>
            <w:hideMark/>
          </w:tcPr>
          <w:p w14:paraId="178A005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(0.477)</w:t>
            </w:r>
          </w:p>
        </w:tc>
      </w:tr>
      <w:tr w:rsidR="00644B7D" w:rsidRPr="00335032" w14:paraId="4E77CBE7" w14:textId="77777777" w:rsidTr="00E7334F">
        <w:trPr>
          <w:tblCellSpacing w:w="15" w:type="dxa"/>
        </w:trPr>
        <w:tc>
          <w:tcPr>
            <w:tcW w:w="0" w:type="auto"/>
            <w:vAlign w:val="center"/>
            <w:hideMark/>
          </w:tcPr>
          <w:p w14:paraId="39D9370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D21E11C"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7C5E4E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EA99A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C1576B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6057DFE" w14:textId="77777777" w:rsidTr="00E7334F">
        <w:trPr>
          <w:tblCellSpacing w:w="15" w:type="dxa"/>
        </w:trPr>
        <w:tc>
          <w:tcPr>
            <w:tcW w:w="0" w:type="auto"/>
            <w:vAlign w:val="center"/>
            <w:hideMark/>
          </w:tcPr>
          <w:p w14:paraId="64D64810"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under 18 years of age</w:t>
            </w:r>
          </w:p>
        </w:tc>
        <w:tc>
          <w:tcPr>
            <w:tcW w:w="0" w:type="auto"/>
            <w:vAlign w:val="center"/>
            <w:hideMark/>
          </w:tcPr>
          <w:p w14:paraId="0B97844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1.865</w:t>
            </w:r>
            <w:r w:rsidRPr="00335032">
              <w:rPr>
                <w:rFonts w:ascii="Times New Roman" w:eastAsia="Times New Roman" w:hAnsi="Times New Roman" w:cs="Times New Roman"/>
                <w:sz w:val="18"/>
                <w:szCs w:val="18"/>
                <w:vertAlign w:val="superscript"/>
              </w:rPr>
              <w:t>***</w:t>
            </w:r>
          </w:p>
        </w:tc>
        <w:tc>
          <w:tcPr>
            <w:tcW w:w="0" w:type="auto"/>
            <w:vAlign w:val="center"/>
            <w:hideMark/>
          </w:tcPr>
          <w:p w14:paraId="4EBA51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2.397</w:t>
            </w:r>
            <w:r w:rsidRPr="00335032">
              <w:rPr>
                <w:rFonts w:ascii="Times New Roman" w:eastAsia="Times New Roman" w:hAnsi="Times New Roman" w:cs="Times New Roman"/>
                <w:sz w:val="18"/>
                <w:szCs w:val="18"/>
                <w:vertAlign w:val="superscript"/>
              </w:rPr>
              <w:t>***</w:t>
            </w:r>
          </w:p>
        </w:tc>
        <w:tc>
          <w:tcPr>
            <w:tcW w:w="0" w:type="auto"/>
            <w:vAlign w:val="center"/>
            <w:hideMark/>
          </w:tcPr>
          <w:p w14:paraId="5CE63C3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1.289</w:t>
            </w:r>
            <w:r w:rsidRPr="00335032">
              <w:rPr>
                <w:rFonts w:ascii="Times New Roman" w:eastAsia="Times New Roman" w:hAnsi="Times New Roman" w:cs="Times New Roman"/>
                <w:sz w:val="18"/>
                <w:szCs w:val="18"/>
                <w:vertAlign w:val="superscript"/>
              </w:rPr>
              <w:t>***</w:t>
            </w:r>
          </w:p>
        </w:tc>
        <w:tc>
          <w:tcPr>
            <w:tcW w:w="0" w:type="auto"/>
            <w:vAlign w:val="center"/>
            <w:hideMark/>
          </w:tcPr>
          <w:p w14:paraId="07A1675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1.972</w:t>
            </w:r>
            <w:r w:rsidRPr="00335032">
              <w:rPr>
                <w:rFonts w:ascii="Times New Roman" w:eastAsia="Times New Roman" w:hAnsi="Times New Roman" w:cs="Times New Roman"/>
                <w:sz w:val="18"/>
                <w:szCs w:val="18"/>
                <w:vertAlign w:val="superscript"/>
              </w:rPr>
              <w:t>***</w:t>
            </w:r>
          </w:p>
        </w:tc>
      </w:tr>
      <w:tr w:rsidR="00644B7D" w:rsidRPr="00335032" w14:paraId="3FE723AE" w14:textId="77777777" w:rsidTr="00E7334F">
        <w:trPr>
          <w:tblCellSpacing w:w="15" w:type="dxa"/>
        </w:trPr>
        <w:tc>
          <w:tcPr>
            <w:tcW w:w="0" w:type="auto"/>
            <w:vAlign w:val="center"/>
            <w:hideMark/>
          </w:tcPr>
          <w:p w14:paraId="2BBF64D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88D928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(0.348)</w:t>
            </w:r>
          </w:p>
        </w:tc>
        <w:tc>
          <w:tcPr>
            <w:tcW w:w="0" w:type="auto"/>
            <w:vAlign w:val="center"/>
            <w:hideMark/>
          </w:tcPr>
          <w:p w14:paraId="1A3C3FB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(0.486)</w:t>
            </w:r>
          </w:p>
        </w:tc>
        <w:tc>
          <w:tcPr>
            <w:tcW w:w="0" w:type="auto"/>
            <w:vAlign w:val="center"/>
            <w:hideMark/>
          </w:tcPr>
          <w:p w14:paraId="1465C33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(0.397)</w:t>
            </w:r>
          </w:p>
        </w:tc>
        <w:tc>
          <w:tcPr>
            <w:tcW w:w="0" w:type="auto"/>
            <w:vAlign w:val="center"/>
            <w:hideMark/>
          </w:tcPr>
          <w:p w14:paraId="1EFF36D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(0.544)</w:t>
            </w:r>
          </w:p>
        </w:tc>
      </w:tr>
      <w:tr w:rsidR="00644B7D" w:rsidRPr="00335032" w14:paraId="6164B5BC" w14:textId="77777777" w:rsidTr="00E7334F">
        <w:trPr>
          <w:tblCellSpacing w:w="15" w:type="dxa"/>
        </w:trPr>
        <w:tc>
          <w:tcPr>
            <w:tcW w:w="0" w:type="auto"/>
            <w:vAlign w:val="center"/>
            <w:hideMark/>
          </w:tcPr>
          <w:p w14:paraId="21509A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C4B0890"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5943FB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35E6E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8C24F3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A7B75AB" w14:textId="77777777" w:rsidTr="00E7334F">
        <w:trPr>
          <w:tblCellSpacing w:w="15" w:type="dxa"/>
        </w:trPr>
        <w:tc>
          <w:tcPr>
            <w:tcW w:w="0" w:type="auto"/>
            <w:vAlign w:val="center"/>
            <w:hideMark/>
          </w:tcPr>
          <w:p w14:paraId="6F9CCA35"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White share of population</w:t>
            </w:r>
          </w:p>
        </w:tc>
        <w:tc>
          <w:tcPr>
            <w:tcW w:w="0" w:type="auto"/>
            <w:vAlign w:val="center"/>
            <w:hideMark/>
          </w:tcPr>
          <w:p w14:paraId="6D06361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-0.764</w:t>
            </w:r>
            <w:r w:rsidRPr="00335032">
              <w:rPr>
                <w:rFonts w:ascii="Times New Roman" w:eastAsia="Times New Roman" w:hAnsi="Times New Roman" w:cs="Times New Roman"/>
                <w:sz w:val="18"/>
                <w:szCs w:val="18"/>
                <w:vertAlign w:val="superscript"/>
              </w:rPr>
              <w:t>***</w:t>
            </w:r>
          </w:p>
        </w:tc>
        <w:tc>
          <w:tcPr>
            <w:tcW w:w="0" w:type="auto"/>
            <w:vAlign w:val="center"/>
            <w:hideMark/>
          </w:tcPr>
          <w:p w14:paraId="2255B3F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-0.711</w:t>
            </w:r>
            <w:r w:rsidRPr="00335032">
              <w:rPr>
                <w:rFonts w:ascii="Times New Roman" w:eastAsia="Times New Roman" w:hAnsi="Times New Roman" w:cs="Times New Roman"/>
                <w:sz w:val="18"/>
                <w:szCs w:val="18"/>
                <w:vertAlign w:val="superscript"/>
              </w:rPr>
              <w:t>***</w:t>
            </w:r>
          </w:p>
        </w:tc>
        <w:tc>
          <w:tcPr>
            <w:tcW w:w="0" w:type="auto"/>
            <w:vAlign w:val="center"/>
            <w:hideMark/>
          </w:tcPr>
          <w:p w14:paraId="4CE52F8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-0.835</w:t>
            </w:r>
            <w:r w:rsidRPr="00335032">
              <w:rPr>
                <w:rFonts w:ascii="Times New Roman" w:eastAsia="Times New Roman" w:hAnsi="Times New Roman" w:cs="Times New Roman"/>
                <w:sz w:val="18"/>
                <w:szCs w:val="18"/>
                <w:vertAlign w:val="superscript"/>
              </w:rPr>
              <w:t>***</w:t>
            </w:r>
          </w:p>
        </w:tc>
        <w:tc>
          <w:tcPr>
            <w:tcW w:w="0" w:type="auto"/>
            <w:vAlign w:val="center"/>
            <w:hideMark/>
          </w:tcPr>
          <w:p w14:paraId="0F5DBF2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-0.969</w:t>
            </w:r>
            <w:r w:rsidRPr="00335032">
              <w:rPr>
                <w:rFonts w:ascii="Times New Roman" w:eastAsia="Times New Roman" w:hAnsi="Times New Roman" w:cs="Times New Roman"/>
                <w:sz w:val="18"/>
                <w:szCs w:val="18"/>
                <w:vertAlign w:val="superscript"/>
              </w:rPr>
              <w:t>***</w:t>
            </w:r>
          </w:p>
        </w:tc>
      </w:tr>
      <w:tr w:rsidR="00644B7D" w:rsidRPr="00335032" w14:paraId="7B83FCB0" w14:textId="77777777" w:rsidTr="00E7334F">
        <w:trPr>
          <w:tblCellSpacing w:w="15" w:type="dxa"/>
        </w:trPr>
        <w:tc>
          <w:tcPr>
            <w:tcW w:w="0" w:type="auto"/>
            <w:vAlign w:val="center"/>
            <w:hideMark/>
          </w:tcPr>
          <w:p w14:paraId="0D5DD89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44A1C6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(0.105)</w:t>
            </w:r>
          </w:p>
        </w:tc>
        <w:tc>
          <w:tcPr>
            <w:tcW w:w="0" w:type="auto"/>
            <w:vAlign w:val="center"/>
            <w:hideMark/>
          </w:tcPr>
          <w:p w14:paraId="0A305A3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(0.132)</w:t>
            </w:r>
          </w:p>
        </w:tc>
        <w:tc>
          <w:tcPr>
            <w:tcW w:w="0" w:type="auto"/>
            <w:vAlign w:val="center"/>
            <w:hideMark/>
          </w:tcPr>
          <w:p w14:paraId="7C01855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(0.113)</w:t>
            </w:r>
          </w:p>
        </w:tc>
        <w:tc>
          <w:tcPr>
            <w:tcW w:w="0" w:type="auto"/>
            <w:vAlign w:val="center"/>
            <w:hideMark/>
          </w:tcPr>
          <w:p w14:paraId="6165052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(0.135)</w:t>
            </w:r>
          </w:p>
        </w:tc>
      </w:tr>
      <w:tr w:rsidR="00644B7D" w:rsidRPr="00335032" w14:paraId="170DFCE4" w14:textId="77777777" w:rsidTr="00E7334F">
        <w:trPr>
          <w:tblCellSpacing w:w="15" w:type="dxa"/>
        </w:trPr>
        <w:tc>
          <w:tcPr>
            <w:tcW w:w="0" w:type="auto"/>
            <w:vAlign w:val="center"/>
            <w:hideMark/>
          </w:tcPr>
          <w:p w14:paraId="1181E36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EFCA208"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CE0E3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A8B245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6FEC66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3E41555F" w14:textId="77777777" w:rsidTr="00E7334F">
        <w:trPr>
          <w:tblCellSpacing w:w="15" w:type="dxa"/>
        </w:trPr>
        <w:tc>
          <w:tcPr>
            <w:tcW w:w="0" w:type="auto"/>
            <w:vAlign w:val="center"/>
            <w:hideMark/>
          </w:tcPr>
          <w:p w14:paraId="0EAB7566"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Ln(median property value)</w:t>
            </w:r>
          </w:p>
        </w:tc>
        <w:tc>
          <w:tcPr>
            <w:tcW w:w="0" w:type="auto"/>
            <w:vAlign w:val="center"/>
            <w:hideMark/>
          </w:tcPr>
          <w:p w14:paraId="62C370D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0.660</w:t>
            </w:r>
            <w:r w:rsidRPr="00335032">
              <w:rPr>
                <w:rFonts w:ascii="Times New Roman" w:eastAsia="Times New Roman" w:hAnsi="Times New Roman" w:cs="Times New Roman"/>
                <w:sz w:val="18"/>
                <w:szCs w:val="18"/>
                <w:vertAlign w:val="superscript"/>
              </w:rPr>
              <w:t>***</w:t>
            </w:r>
          </w:p>
        </w:tc>
        <w:tc>
          <w:tcPr>
            <w:tcW w:w="0" w:type="auto"/>
            <w:vAlign w:val="center"/>
            <w:hideMark/>
          </w:tcPr>
          <w:p w14:paraId="7ECDD1E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0.410</w:t>
            </w:r>
            <w:r w:rsidRPr="00335032">
              <w:rPr>
                <w:rFonts w:ascii="Times New Roman" w:eastAsia="Times New Roman" w:hAnsi="Times New Roman" w:cs="Times New Roman"/>
                <w:sz w:val="18"/>
                <w:szCs w:val="18"/>
                <w:vertAlign w:val="superscript"/>
              </w:rPr>
              <w:t>***</w:t>
            </w:r>
          </w:p>
        </w:tc>
        <w:tc>
          <w:tcPr>
            <w:tcW w:w="0" w:type="auto"/>
            <w:vAlign w:val="center"/>
            <w:hideMark/>
          </w:tcPr>
          <w:p w14:paraId="38FB9D2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0.243</w:t>
            </w:r>
            <w:r w:rsidRPr="00335032">
              <w:rPr>
                <w:rFonts w:ascii="Times New Roman" w:eastAsia="Times New Roman" w:hAnsi="Times New Roman" w:cs="Times New Roman"/>
                <w:sz w:val="18"/>
                <w:szCs w:val="18"/>
                <w:vertAlign w:val="superscript"/>
              </w:rPr>
              <w:t>***</w:t>
            </w:r>
          </w:p>
        </w:tc>
        <w:tc>
          <w:tcPr>
            <w:tcW w:w="0" w:type="auto"/>
            <w:vAlign w:val="center"/>
            <w:hideMark/>
          </w:tcPr>
          <w:p w14:paraId="27C7FCF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-0.133</w:t>
            </w:r>
            <w:r w:rsidRPr="00335032">
              <w:rPr>
                <w:rFonts w:ascii="Times New Roman" w:eastAsia="Times New Roman" w:hAnsi="Times New Roman" w:cs="Times New Roman"/>
                <w:sz w:val="18"/>
                <w:szCs w:val="18"/>
                <w:vertAlign w:val="superscript"/>
              </w:rPr>
              <w:t>*</w:t>
            </w:r>
          </w:p>
        </w:tc>
      </w:tr>
      <w:tr w:rsidR="00644B7D" w:rsidRPr="00335032" w14:paraId="3D1A8779" w14:textId="77777777" w:rsidTr="00E7334F">
        <w:trPr>
          <w:tblCellSpacing w:w="15" w:type="dxa"/>
        </w:trPr>
        <w:tc>
          <w:tcPr>
            <w:tcW w:w="0" w:type="auto"/>
            <w:vAlign w:val="center"/>
            <w:hideMark/>
          </w:tcPr>
          <w:p w14:paraId="6B74E0B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DDF06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(0.041)</w:t>
            </w:r>
          </w:p>
        </w:tc>
        <w:tc>
          <w:tcPr>
            <w:tcW w:w="0" w:type="auto"/>
            <w:vAlign w:val="center"/>
            <w:hideMark/>
          </w:tcPr>
          <w:p w14:paraId="465D498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(0.053)</w:t>
            </w:r>
          </w:p>
        </w:tc>
        <w:tc>
          <w:tcPr>
            <w:tcW w:w="0" w:type="auto"/>
            <w:vAlign w:val="center"/>
            <w:hideMark/>
          </w:tcPr>
          <w:p w14:paraId="03DBC33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(0.053)</w:t>
            </w:r>
          </w:p>
        </w:tc>
        <w:tc>
          <w:tcPr>
            <w:tcW w:w="0" w:type="auto"/>
            <w:vAlign w:val="center"/>
            <w:hideMark/>
          </w:tcPr>
          <w:p w14:paraId="20DC439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(0.069)</w:t>
            </w:r>
          </w:p>
        </w:tc>
      </w:tr>
      <w:tr w:rsidR="00644B7D" w:rsidRPr="00335032" w14:paraId="49D81957" w14:textId="77777777" w:rsidTr="00E7334F">
        <w:trPr>
          <w:tblCellSpacing w:w="15" w:type="dxa"/>
        </w:trPr>
        <w:tc>
          <w:tcPr>
            <w:tcW w:w="0" w:type="auto"/>
            <w:vAlign w:val="center"/>
            <w:hideMark/>
          </w:tcPr>
          <w:p w14:paraId="3DCBF19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4001661"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22676FF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540143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653D9D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7ABF45F" w14:textId="77777777" w:rsidTr="00E7334F">
        <w:trPr>
          <w:tblCellSpacing w:w="15" w:type="dxa"/>
        </w:trPr>
        <w:tc>
          <w:tcPr>
            <w:tcW w:w="0" w:type="auto"/>
            <w:vAlign w:val="center"/>
            <w:hideMark/>
          </w:tcPr>
          <w:p w14:paraId="02510676"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with 4-year college degree or more</w:t>
            </w:r>
          </w:p>
        </w:tc>
        <w:tc>
          <w:tcPr>
            <w:tcW w:w="0" w:type="auto"/>
            <w:vAlign w:val="center"/>
            <w:hideMark/>
          </w:tcPr>
          <w:p w14:paraId="797186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2.811</w:t>
            </w:r>
            <w:r w:rsidRPr="00335032">
              <w:rPr>
                <w:rFonts w:ascii="Times New Roman" w:eastAsia="Times New Roman" w:hAnsi="Times New Roman" w:cs="Times New Roman"/>
                <w:sz w:val="18"/>
                <w:szCs w:val="18"/>
                <w:vertAlign w:val="superscript"/>
              </w:rPr>
              <w:t>***</w:t>
            </w:r>
          </w:p>
        </w:tc>
        <w:tc>
          <w:tcPr>
            <w:tcW w:w="0" w:type="auto"/>
            <w:vAlign w:val="center"/>
            <w:hideMark/>
          </w:tcPr>
          <w:p w14:paraId="135121F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2.668</w:t>
            </w:r>
            <w:r w:rsidRPr="00335032">
              <w:rPr>
                <w:rFonts w:ascii="Times New Roman" w:eastAsia="Times New Roman" w:hAnsi="Times New Roman" w:cs="Times New Roman"/>
                <w:sz w:val="18"/>
                <w:szCs w:val="18"/>
                <w:vertAlign w:val="superscript"/>
              </w:rPr>
              <w:t>***</w:t>
            </w:r>
          </w:p>
        </w:tc>
        <w:tc>
          <w:tcPr>
            <w:tcW w:w="0" w:type="auto"/>
            <w:vAlign w:val="center"/>
            <w:hideMark/>
          </w:tcPr>
          <w:p w14:paraId="2A8FD2D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3.769</w:t>
            </w:r>
            <w:r w:rsidRPr="00335032">
              <w:rPr>
                <w:rFonts w:ascii="Times New Roman" w:eastAsia="Times New Roman" w:hAnsi="Times New Roman" w:cs="Times New Roman"/>
                <w:sz w:val="18"/>
                <w:szCs w:val="18"/>
                <w:vertAlign w:val="superscript"/>
              </w:rPr>
              <w:t>***</w:t>
            </w:r>
          </w:p>
        </w:tc>
        <w:tc>
          <w:tcPr>
            <w:tcW w:w="0" w:type="auto"/>
            <w:vAlign w:val="center"/>
            <w:hideMark/>
          </w:tcPr>
          <w:p w14:paraId="6A97AB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3.931</w:t>
            </w:r>
            <w:r w:rsidRPr="00335032">
              <w:rPr>
                <w:rFonts w:ascii="Times New Roman" w:eastAsia="Times New Roman" w:hAnsi="Times New Roman" w:cs="Times New Roman"/>
                <w:sz w:val="18"/>
                <w:szCs w:val="18"/>
                <w:vertAlign w:val="superscript"/>
              </w:rPr>
              <w:t>***</w:t>
            </w:r>
          </w:p>
        </w:tc>
      </w:tr>
      <w:tr w:rsidR="00644B7D" w:rsidRPr="00335032" w14:paraId="1C460218" w14:textId="77777777" w:rsidTr="00E7334F">
        <w:trPr>
          <w:tblCellSpacing w:w="15" w:type="dxa"/>
        </w:trPr>
        <w:tc>
          <w:tcPr>
            <w:tcW w:w="0" w:type="auto"/>
            <w:vAlign w:val="center"/>
            <w:hideMark/>
          </w:tcPr>
          <w:p w14:paraId="7ACAC6B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0362B0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(0.170)</w:t>
            </w:r>
          </w:p>
        </w:tc>
        <w:tc>
          <w:tcPr>
            <w:tcW w:w="0" w:type="auto"/>
            <w:vAlign w:val="center"/>
            <w:hideMark/>
          </w:tcPr>
          <w:p w14:paraId="491D8F9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(0.203)</w:t>
            </w:r>
          </w:p>
        </w:tc>
        <w:tc>
          <w:tcPr>
            <w:tcW w:w="0" w:type="auto"/>
            <w:vAlign w:val="center"/>
            <w:hideMark/>
          </w:tcPr>
          <w:p w14:paraId="0E19C0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(0.192)</w:t>
            </w:r>
          </w:p>
        </w:tc>
        <w:tc>
          <w:tcPr>
            <w:tcW w:w="0" w:type="auto"/>
            <w:vAlign w:val="center"/>
            <w:hideMark/>
          </w:tcPr>
          <w:p w14:paraId="0D01E1F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(0.229)</w:t>
            </w:r>
          </w:p>
        </w:tc>
      </w:tr>
      <w:tr w:rsidR="00644B7D" w:rsidRPr="00335032" w14:paraId="0C354630" w14:textId="77777777" w:rsidTr="00E7334F">
        <w:trPr>
          <w:tblCellSpacing w:w="15" w:type="dxa"/>
        </w:trPr>
        <w:tc>
          <w:tcPr>
            <w:tcW w:w="0" w:type="auto"/>
            <w:vAlign w:val="center"/>
            <w:hideMark/>
          </w:tcPr>
          <w:p w14:paraId="44CB0BE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C93F402"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1304C3D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8D939F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0926B9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98D7DAC" w14:textId="77777777" w:rsidTr="00E7334F">
        <w:trPr>
          <w:tblCellSpacing w:w="15" w:type="dxa"/>
        </w:trPr>
        <w:tc>
          <w:tcPr>
            <w:tcW w:w="0" w:type="auto"/>
            <w:vAlign w:val="center"/>
            <w:hideMark/>
          </w:tcPr>
          <w:p w14:paraId="72D24EDE"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Midwest region</w:t>
            </w:r>
          </w:p>
        </w:tc>
        <w:tc>
          <w:tcPr>
            <w:tcW w:w="0" w:type="auto"/>
            <w:vAlign w:val="center"/>
            <w:hideMark/>
          </w:tcPr>
          <w:p w14:paraId="09287F2B"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1A34E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10EAD6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-0.363</w:t>
            </w:r>
            <w:r w:rsidRPr="00335032">
              <w:rPr>
                <w:rFonts w:ascii="Times New Roman" w:eastAsia="Times New Roman" w:hAnsi="Times New Roman" w:cs="Times New Roman"/>
                <w:sz w:val="18"/>
                <w:szCs w:val="18"/>
                <w:vertAlign w:val="superscript"/>
              </w:rPr>
              <w:t>***</w:t>
            </w:r>
          </w:p>
        </w:tc>
        <w:tc>
          <w:tcPr>
            <w:tcW w:w="0" w:type="auto"/>
            <w:vAlign w:val="center"/>
            <w:hideMark/>
          </w:tcPr>
          <w:p w14:paraId="4B1E040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-0.195</w:t>
            </w:r>
            <w:r w:rsidRPr="00335032">
              <w:rPr>
                <w:rFonts w:ascii="Times New Roman" w:eastAsia="Times New Roman" w:hAnsi="Times New Roman" w:cs="Times New Roman"/>
                <w:sz w:val="18"/>
                <w:szCs w:val="18"/>
                <w:vertAlign w:val="superscript"/>
              </w:rPr>
              <w:t>***</w:t>
            </w:r>
          </w:p>
        </w:tc>
      </w:tr>
      <w:tr w:rsidR="00644B7D" w:rsidRPr="00335032" w14:paraId="442804A4" w14:textId="77777777" w:rsidTr="00E7334F">
        <w:trPr>
          <w:tblCellSpacing w:w="15" w:type="dxa"/>
        </w:trPr>
        <w:tc>
          <w:tcPr>
            <w:tcW w:w="0" w:type="auto"/>
            <w:vAlign w:val="center"/>
            <w:hideMark/>
          </w:tcPr>
          <w:p w14:paraId="241B165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E35B052"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2CBA1F0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B44C58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(0.063)</w:t>
            </w:r>
          </w:p>
        </w:tc>
        <w:tc>
          <w:tcPr>
            <w:tcW w:w="0" w:type="auto"/>
            <w:vAlign w:val="center"/>
            <w:hideMark/>
          </w:tcPr>
          <w:p w14:paraId="1859B2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(0.070)</w:t>
            </w:r>
          </w:p>
        </w:tc>
      </w:tr>
      <w:tr w:rsidR="00644B7D" w:rsidRPr="00335032" w14:paraId="2FE2AAB5" w14:textId="77777777" w:rsidTr="00E7334F">
        <w:trPr>
          <w:tblCellSpacing w:w="15" w:type="dxa"/>
        </w:trPr>
        <w:tc>
          <w:tcPr>
            <w:tcW w:w="0" w:type="auto"/>
            <w:vAlign w:val="center"/>
            <w:hideMark/>
          </w:tcPr>
          <w:p w14:paraId="4E46DC1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F7680BA"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0352AA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2B1FC4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128A8D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41505B4A" w14:textId="77777777" w:rsidTr="00E7334F">
        <w:trPr>
          <w:tblCellSpacing w:w="15" w:type="dxa"/>
        </w:trPr>
        <w:tc>
          <w:tcPr>
            <w:tcW w:w="0" w:type="auto"/>
            <w:vAlign w:val="center"/>
            <w:hideMark/>
          </w:tcPr>
          <w:p w14:paraId="25BBB0BB"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South region</w:t>
            </w:r>
          </w:p>
        </w:tc>
        <w:tc>
          <w:tcPr>
            <w:tcW w:w="0" w:type="auto"/>
            <w:vAlign w:val="center"/>
            <w:hideMark/>
          </w:tcPr>
          <w:p w14:paraId="2C77BAA5"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840151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D75382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-0.661</w:t>
            </w:r>
            <w:r w:rsidRPr="00335032">
              <w:rPr>
                <w:rFonts w:ascii="Times New Roman" w:eastAsia="Times New Roman" w:hAnsi="Times New Roman" w:cs="Times New Roman"/>
                <w:sz w:val="18"/>
                <w:szCs w:val="18"/>
                <w:vertAlign w:val="superscript"/>
              </w:rPr>
              <w:t>***</w:t>
            </w:r>
          </w:p>
        </w:tc>
        <w:tc>
          <w:tcPr>
            <w:tcW w:w="0" w:type="auto"/>
            <w:vAlign w:val="center"/>
            <w:hideMark/>
          </w:tcPr>
          <w:p w14:paraId="34F8A14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-0.580</w:t>
            </w:r>
            <w:r w:rsidRPr="00335032">
              <w:rPr>
                <w:rFonts w:ascii="Times New Roman" w:eastAsia="Times New Roman" w:hAnsi="Times New Roman" w:cs="Times New Roman"/>
                <w:sz w:val="18"/>
                <w:szCs w:val="18"/>
                <w:vertAlign w:val="superscript"/>
              </w:rPr>
              <w:t>***</w:t>
            </w:r>
          </w:p>
        </w:tc>
      </w:tr>
      <w:tr w:rsidR="00644B7D" w:rsidRPr="00335032" w14:paraId="0EB83588" w14:textId="77777777" w:rsidTr="00E7334F">
        <w:trPr>
          <w:tblCellSpacing w:w="15" w:type="dxa"/>
        </w:trPr>
        <w:tc>
          <w:tcPr>
            <w:tcW w:w="0" w:type="auto"/>
            <w:vAlign w:val="center"/>
            <w:hideMark/>
          </w:tcPr>
          <w:p w14:paraId="42CB03B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1598707"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629DD65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C345CF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(0.068)</w:t>
            </w:r>
          </w:p>
        </w:tc>
        <w:tc>
          <w:tcPr>
            <w:tcW w:w="0" w:type="auto"/>
            <w:vAlign w:val="center"/>
            <w:hideMark/>
          </w:tcPr>
          <w:p w14:paraId="5FDF25C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(0.074)</w:t>
            </w:r>
          </w:p>
        </w:tc>
      </w:tr>
      <w:tr w:rsidR="00644B7D" w:rsidRPr="00335032" w14:paraId="10F6CD08" w14:textId="77777777" w:rsidTr="00E7334F">
        <w:trPr>
          <w:tblCellSpacing w:w="15" w:type="dxa"/>
        </w:trPr>
        <w:tc>
          <w:tcPr>
            <w:tcW w:w="0" w:type="auto"/>
            <w:vAlign w:val="center"/>
            <w:hideMark/>
          </w:tcPr>
          <w:p w14:paraId="4BEA62C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9DBFA87"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726FA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655BF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485ED8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77B96B61" w14:textId="77777777" w:rsidTr="00E7334F">
        <w:trPr>
          <w:tblCellSpacing w:w="15" w:type="dxa"/>
        </w:trPr>
        <w:tc>
          <w:tcPr>
            <w:tcW w:w="0" w:type="auto"/>
            <w:vAlign w:val="center"/>
            <w:hideMark/>
          </w:tcPr>
          <w:p w14:paraId="67247615"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West region</w:t>
            </w:r>
          </w:p>
        </w:tc>
        <w:tc>
          <w:tcPr>
            <w:tcW w:w="0" w:type="auto"/>
            <w:vAlign w:val="center"/>
            <w:hideMark/>
          </w:tcPr>
          <w:p w14:paraId="7CD2FD16"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45441FB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18095F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0.163</w:t>
            </w:r>
            <w:r w:rsidRPr="00335032">
              <w:rPr>
                <w:rFonts w:ascii="Times New Roman" w:eastAsia="Times New Roman" w:hAnsi="Times New Roman" w:cs="Times New Roman"/>
                <w:sz w:val="18"/>
                <w:szCs w:val="18"/>
                <w:vertAlign w:val="superscript"/>
              </w:rPr>
              <w:t>**</w:t>
            </w:r>
          </w:p>
        </w:tc>
        <w:tc>
          <w:tcPr>
            <w:tcW w:w="0" w:type="auto"/>
            <w:vAlign w:val="center"/>
            <w:hideMark/>
          </w:tcPr>
          <w:p w14:paraId="1D0584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0.498</w:t>
            </w:r>
            <w:r w:rsidRPr="00335032">
              <w:rPr>
                <w:rFonts w:ascii="Times New Roman" w:eastAsia="Times New Roman" w:hAnsi="Times New Roman" w:cs="Times New Roman"/>
                <w:sz w:val="18"/>
                <w:szCs w:val="18"/>
                <w:vertAlign w:val="superscript"/>
              </w:rPr>
              <w:t>***</w:t>
            </w:r>
          </w:p>
        </w:tc>
      </w:tr>
      <w:tr w:rsidR="00644B7D" w:rsidRPr="00335032" w14:paraId="1D3DC1A6" w14:textId="77777777" w:rsidTr="00E7334F">
        <w:trPr>
          <w:tblCellSpacing w:w="15" w:type="dxa"/>
        </w:trPr>
        <w:tc>
          <w:tcPr>
            <w:tcW w:w="0" w:type="auto"/>
            <w:vAlign w:val="center"/>
            <w:hideMark/>
          </w:tcPr>
          <w:p w14:paraId="1F59679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3E8EA25"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96B6DC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9601B9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(0.079)</w:t>
            </w:r>
          </w:p>
        </w:tc>
        <w:tc>
          <w:tcPr>
            <w:tcW w:w="0" w:type="auto"/>
            <w:vAlign w:val="center"/>
            <w:hideMark/>
          </w:tcPr>
          <w:p w14:paraId="470EC8E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(0.093)</w:t>
            </w:r>
          </w:p>
        </w:tc>
      </w:tr>
      <w:tr w:rsidR="00644B7D" w:rsidRPr="00335032" w14:paraId="3AAD0032" w14:textId="77777777" w:rsidTr="00E7334F">
        <w:trPr>
          <w:tblCellSpacing w:w="15" w:type="dxa"/>
        </w:trPr>
        <w:tc>
          <w:tcPr>
            <w:tcW w:w="0" w:type="auto"/>
            <w:vAlign w:val="center"/>
            <w:hideMark/>
          </w:tcPr>
          <w:p w14:paraId="653AC99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B542F86"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7AFEBB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2F2A2A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155911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135D8A0" w14:textId="77777777" w:rsidTr="00E7334F">
        <w:trPr>
          <w:tblCellSpacing w:w="15" w:type="dxa"/>
        </w:trPr>
        <w:tc>
          <w:tcPr>
            <w:tcW w:w="0" w:type="auto"/>
            <w:vAlign w:val="center"/>
            <w:hideMark/>
          </w:tcPr>
          <w:p w14:paraId="19ED55E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Constant</w:t>
            </w:r>
          </w:p>
        </w:tc>
        <w:tc>
          <w:tcPr>
            <w:tcW w:w="0" w:type="auto"/>
            <w:vAlign w:val="center"/>
            <w:hideMark/>
          </w:tcPr>
          <w:p w14:paraId="410573A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-8.104</w:t>
            </w:r>
            <w:r w:rsidRPr="00335032">
              <w:rPr>
                <w:rFonts w:ascii="Times New Roman" w:eastAsia="Times New Roman" w:hAnsi="Times New Roman" w:cs="Times New Roman"/>
                <w:sz w:val="18"/>
                <w:szCs w:val="18"/>
                <w:vertAlign w:val="superscript"/>
              </w:rPr>
              <w:t>***</w:t>
            </w:r>
          </w:p>
        </w:tc>
        <w:tc>
          <w:tcPr>
            <w:tcW w:w="0" w:type="auto"/>
            <w:vAlign w:val="center"/>
            <w:hideMark/>
          </w:tcPr>
          <w:p w14:paraId="0932CDB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-5.460</w:t>
            </w:r>
            <w:r w:rsidRPr="00335032">
              <w:rPr>
                <w:rFonts w:ascii="Times New Roman" w:eastAsia="Times New Roman" w:hAnsi="Times New Roman" w:cs="Times New Roman"/>
                <w:sz w:val="18"/>
                <w:szCs w:val="18"/>
                <w:vertAlign w:val="superscript"/>
              </w:rPr>
              <w:t>***</w:t>
            </w:r>
          </w:p>
        </w:tc>
        <w:tc>
          <w:tcPr>
            <w:tcW w:w="0" w:type="auto"/>
            <w:vAlign w:val="center"/>
            <w:hideMark/>
          </w:tcPr>
          <w:p w14:paraId="7D0AF5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-2.713</w:t>
            </w:r>
            <w:r w:rsidRPr="00335032">
              <w:rPr>
                <w:rFonts w:ascii="Times New Roman" w:eastAsia="Times New Roman" w:hAnsi="Times New Roman" w:cs="Times New Roman"/>
                <w:sz w:val="18"/>
                <w:szCs w:val="18"/>
                <w:vertAlign w:val="superscript"/>
              </w:rPr>
              <w:t>***</w:t>
            </w:r>
          </w:p>
        </w:tc>
        <w:tc>
          <w:tcPr>
            <w:tcW w:w="0" w:type="auto"/>
            <w:vAlign w:val="center"/>
            <w:hideMark/>
          </w:tcPr>
          <w:p w14:paraId="288A002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1.039</w:t>
            </w:r>
          </w:p>
        </w:tc>
      </w:tr>
      <w:tr w:rsidR="00644B7D" w:rsidRPr="00335032" w14:paraId="705B69C3" w14:textId="77777777" w:rsidTr="00E7334F">
        <w:trPr>
          <w:tblCellSpacing w:w="15" w:type="dxa"/>
        </w:trPr>
        <w:tc>
          <w:tcPr>
            <w:tcW w:w="0" w:type="auto"/>
            <w:vAlign w:val="center"/>
            <w:hideMark/>
          </w:tcPr>
          <w:p w14:paraId="19C44BE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AA0348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(0.490)</w:t>
            </w:r>
          </w:p>
        </w:tc>
        <w:tc>
          <w:tcPr>
            <w:tcW w:w="0" w:type="auto"/>
            <w:vAlign w:val="center"/>
            <w:hideMark/>
          </w:tcPr>
          <w:p w14:paraId="0F0C22E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(0.642)</w:t>
            </w:r>
          </w:p>
        </w:tc>
        <w:tc>
          <w:tcPr>
            <w:tcW w:w="0" w:type="auto"/>
            <w:vAlign w:val="center"/>
            <w:hideMark/>
          </w:tcPr>
          <w:p w14:paraId="5FA45F3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(0.617)</w:t>
            </w:r>
          </w:p>
        </w:tc>
        <w:tc>
          <w:tcPr>
            <w:tcW w:w="0" w:type="auto"/>
            <w:vAlign w:val="center"/>
            <w:hideMark/>
          </w:tcPr>
          <w:p w14:paraId="3FE5DCF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(0.798)</w:t>
            </w:r>
          </w:p>
        </w:tc>
      </w:tr>
      <w:tr w:rsidR="00644B7D" w:rsidRPr="00335032" w14:paraId="67F031AD" w14:textId="77777777" w:rsidTr="00E7334F">
        <w:trPr>
          <w:tblCellSpacing w:w="15" w:type="dxa"/>
        </w:trPr>
        <w:tc>
          <w:tcPr>
            <w:tcW w:w="0" w:type="auto"/>
            <w:vAlign w:val="center"/>
            <w:hideMark/>
          </w:tcPr>
          <w:p w14:paraId="7DF5633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9EBF4BF"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C190D0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81627A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4FCF92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39CEC851" w14:textId="77777777" w:rsidTr="00E7334F">
        <w:trPr>
          <w:tblCellSpacing w:w="15" w:type="dxa"/>
        </w:trPr>
        <w:tc>
          <w:tcPr>
            <w:tcW w:w="0" w:type="auto"/>
            <w:gridSpan w:val="5"/>
            <w:tcBorders>
              <w:bottom w:val="single" w:sz="6" w:space="0" w:color="000000"/>
            </w:tcBorders>
            <w:vAlign w:val="center"/>
            <w:hideMark/>
          </w:tcPr>
          <w:p w14:paraId="04AE9D2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58CB728" w14:textId="77777777" w:rsidTr="00E7334F">
        <w:trPr>
          <w:tblCellSpacing w:w="15" w:type="dxa"/>
        </w:trPr>
        <w:tc>
          <w:tcPr>
            <w:tcW w:w="0" w:type="auto"/>
            <w:vAlign w:val="center"/>
            <w:hideMark/>
          </w:tcPr>
          <w:p w14:paraId="4CE79049"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Observations</w:t>
            </w:r>
          </w:p>
        </w:tc>
        <w:tc>
          <w:tcPr>
            <w:tcW w:w="0" w:type="auto"/>
            <w:vAlign w:val="center"/>
            <w:hideMark/>
          </w:tcPr>
          <w:p w14:paraId="6A97179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43,892</w:t>
            </w:r>
          </w:p>
        </w:tc>
        <w:tc>
          <w:tcPr>
            <w:tcW w:w="0" w:type="auto"/>
            <w:vAlign w:val="center"/>
            <w:hideMark/>
          </w:tcPr>
          <w:p w14:paraId="4170B1E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18,505</w:t>
            </w:r>
          </w:p>
        </w:tc>
        <w:tc>
          <w:tcPr>
            <w:tcW w:w="0" w:type="auto"/>
            <w:vAlign w:val="center"/>
            <w:hideMark/>
          </w:tcPr>
          <w:p w14:paraId="1B64DD2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41,738</w:t>
            </w:r>
          </w:p>
        </w:tc>
        <w:tc>
          <w:tcPr>
            <w:tcW w:w="0" w:type="auto"/>
            <w:vAlign w:val="center"/>
            <w:hideMark/>
          </w:tcPr>
          <w:p w14:paraId="078507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18,189</w:t>
            </w:r>
          </w:p>
        </w:tc>
      </w:tr>
      <w:tr w:rsidR="00644B7D" w:rsidRPr="00335032" w14:paraId="42D69158" w14:textId="77777777" w:rsidTr="00E7334F">
        <w:trPr>
          <w:tblCellSpacing w:w="15" w:type="dxa"/>
        </w:trPr>
        <w:tc>
          <w:tcPr>
            <w:tcW w:w="0" w:type="auto"/>
            <w:vAlign w:val="center"/>
            <w:hideMark/>
          </w:tcPr>
          <w:p w14:paraId="525B40A3"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Log Likelihood</w:t>
            </w:r>
          </w:p>
        </w:tc>
        <w:tc>
          <w:tcPr>
            <w:tcW w:w="0" w:type="auto"/>
            <w:vAlign w:val="center"/>
            <w:hideMark/>
          </w:tcPr>
          <w:p w14:paraId="11CB958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-8,397.696</w:t>
            </w:r>
          </w:p>
        </w:tc>
        <w:tc>
          <w:tcPr>
            <w:tcW w:w="0" w:type="auto"/>
            <w:vAlign w:val="center"/>
            <w:hideMark/>
          </w:tcPr>
          <w:p w14:paraId="4A33BCC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-5,684.601</w:t>
            </w:r>
          </w:p>
        </w:tc>
        <w:tc>
          <w:tcPr>
            <w:tcW w:w="0" w:type="auto"/>
            <w:vAlign w:val="center"/>
            <w:hideMark/>
          </w:tcPr>
          <w:p w14:paraId="3DDEC1C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-7,906.555</w:t>
            </w:r>
          </w:p>
        </w:tc>
        <w:tc>
          <w:tcPr>
            <w:tcW w:w="0" w:type="auto"/>
            <w:vAlign w:val="center"/>
            <w:hideMark/>
          </w:tcPr>
          <w:p w14:paraId="25BC460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-5,454.442</w:t>
            </w:r>
          </w:p>
        </w:tc>
      </w:tr>
      <w:tr w:rsidR="00644B7D" w:rsidRPr="00335032" w14:paraId="1A5613C4" w14:textId="77777777" w:rsidTr="00E7334F">
        <w:trPr>
          <w:tblCellSpacing w:w="15" w:type="dxa"/>
        </w:trPr>
        <w:tc>
          <w:tcPr>
            <w:tcW w:w="0" w:type="auto"/>
            <w:vAlign w:val="center"/>
            <w:hideMark/>
          </w:tcPr>
          <w:p w14:paraId="3C92B5E9"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Akaike Inf. Crit.</w:t>
            </w:r>
          </w:p>
        </w:tc>
        <w:tc>
          <w:tcPr>
            <w:tcW w:w="0" w:type="auto"/>
            <w:vAlign w:val="center"/>
            <w:hideMark/>
          </w:tcPr>
          <w:p w14:paraId="6359766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16,811.390</w:t>
            </w:r>
          </w:p>
        </w:tc>
        <w:tc>
          <w:tcPr>
            <w:tcW w:w="0" w:type="auto"/>
            <w:vAlign w:val="center"/>
            <w:hideMark/>
          </w:tcPr>
          <w:p w14:paraId="7A20F1B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11,385.200</w:t>
            </w:r>
          </w:p>
        </w:tc>
        <w:tc>
          <w:tcPr>
            <w:tcW w:w="0" w:type="auto"/>
            <w:vAlign w:val="center"/>
            <w:hideMark/>
          </w:tcPr>
          <w:p w14:paraId="5CE5C33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15,835.110</w:t>
            </w:r>
          </w:p>
        </w:tc>
        <w:tc>
          <w:tcPr>
            <w:tcW w:w="0" w:type="auto"/>
            <w:vAlign w:val="center"/>
            <w:hideMark/>
          </w:tcPr>
          <w:p w14:paraId="757EBE4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10,930.880</w:t>
            </w:r>
          </w:p>
        </w:tc>
      </w:tr>
      <w:tr w:rsidR="00644B7D" w:rsidRPr="00335032" w14:paraId="222CB20D" w14:textId="77777777" w:rsidTr="00E7334F">
        <w:trPr>
          <w:tblCellSpacing w:w="15" w:type="dxa"/>
        </w:trPr>
        <w:tc>
          <w:tcPr>
            <w:tcW w:w="0" w:type="auto"/>
            <w:gridSpan w:val="5"/>
            <w:tcBorders>
              <w:bottom w:val="single" w:sz="6" w:space="0" w:color="000000"/>
            </w:tcBorders>
            <w:vAlign w:val="center"/>
            <w:hideMark/>
          </w:tcPr>
          <w:p w14:paraId="734110C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0FA51930" w14:textId="77777777" w:rsidTr="00E7334F">
        <w:trPr>
          <w:tblCellSpacing w:w="15" w:type="dxa"/>
        </w:trPr>
        <w:tc>
          <w:tcPr>
            <w:tcW w:w="0" w:type="auto"/>
            <w:vAlign w:val="center"/>
            <w:hideMark/>
          </w:tcPr>
          <w:p w14:paraId="27B772F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iCs/>
                <w:sz w:val="18"/>
                <w:szCs w:val="18"/>
              </w:rPr>
              <w:t xml:space="preserve">Notes: </w:t>
            </w:r>
          </w:p>
        </w:tc>
        <w:tc>
          <w:tcPr>
            <w:tcW w:w="0" w:type="auto"/>
            <w:gridSpan w:val="4"/>
            <w:vAlign w:val="center"/>
            <w:hideMark/>
          </w:tcPr>
          <w:p w14:paraId="43C24A31" w14:textId="77777777" w:rsidR="00644B7D" w:rsidRPr="00335032" w:rsidRDefault="00644B7D" w:rsidP="00644B7D">
            <w:pPr>
              <w:spacing w:after="0" w:line="240" w:lineRule="auto"/>
              <w:jc w:val="right"/>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p&lt;0.1; </w:t>
            </w: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p&lt;0.05; </w:t>
            </w: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p&lt;0.01</w:t>
            </w:r>
          </w:p>
        </w:tc>
      </w:tr>
      <w:tr w:rsidR="00644B7D" w:rsidRPr="00335032" w14:paraId="4A58CC0F" w14:textId="77777777" w:rsidTr="00E7334F">
        <w:trPr>
          <w:tblCellSpacing w:w="15" w:type="dxa"/>
        </w:trPr>
        <w:tc>
          <w:tcPr>
            <w:tcW w:w="0" w:type="auto"/>
            <w:gridSpan w:val="5"/>
            <w:vAlign w:val="center"/>
          </w:tcPr>
          <w:p w14:paraId="4BC402AE" w14:textId="42C7AEA4"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a. We implement a similar methodology to Gyourko, Saiz and Summers (2008)</w:t>
            </w:r>
            <w:r w:rsidR="00E8566C">
              <w:rPr>
                <w:rFonts w:ascii="Times New Roman" w:eastAsia="Times New Roman" w:hAnsi="Times New Roman" w:cs="Times New Roman"/>
                <w:iCs/>
                <w:sz w:val="18"/>
                <w:szCs w:val="24"/>
              </w:rPr>
              <w:t xml:space="preserve"> and Gyourko, </w:t>
            </w:r>
            <w:r w:rsidR="00E8566C" w:rsidRPr="00E8566C">
              <w:rPr>
                <w:rFonts w:ascii="Times New Roman" w:eastAsia="Times New Roman" w:hAnsi="Times New Roman" w:cs="Times New Roman"/>
                <w:iCs/>
                <w:sz w:val="18"/>
                <w:szCs w:val="24"/>
              </w:rPr>
              <w:t>Hartley</w:t>
            </w:r>
            <w:r w:rsidR="00E8566C">
              <w:rPr>
                <w:rFonts w:ascii="Times New Roman" w:eastAsia="Times New Roman" w:hAnsi="Times New Roman" w:cs="Times New Roman"/>
                <w:iCs/>
                <w:sz w:val="18"/>
                <w:szCs w:val="24"/>
              </w:rPr>
              <w:t xml:space="preserve"> </w:t>
            </w:r>
            <w:r w:rsidR="00E8566C" w:rsidRPr="00E8566C">
              <w:rPr>
                <w:rFonts w:ascii="Times New Roman" w:eastAsia="Times New Roman" w:hAnsi="Times New Roman" w:cs="Times New Roman"/>
                <w:iCs/>
                <w:sz w:val="18"/>
                <w:szCs w:val="24"/>
              </w:rPr>
              <w:t>and Krimmel</w:t>
            </w:r>
            <w:r w:rsidR="00E8566C">
              <w:rPr>
                <w:rFonts w:ascii="Times New Roman" w:eastAsia="Times New Roman" w:hAnsi="Times New Roman" w:cs="Times New Roman"/>
                <w:iCs/>
                <w:sz w:val="18"/>
                <w:szCs w:val="24"/>
              </w:rPr>
              <w:t xml:space="preserve"> (2021)</w:t>
            </w:r>
            <w:r w:rsidRPr="00335032">
              <w:rPr>
                <w:rFonts w:ascii="Times New Roman" w:eastAsia="Times New Roman" w:hAnsi="Times New Roman" w:cs="Times New Roman"/>
                <w:iCs/>
                <w:sz w:val="18"/>
                <w:szCs w:val="24"/>
              </w:rPr>
              <w:t xml:space="preserve">, using the same set of covariates to estimate the probability of selection into different samples for the time periods overlapping with 2005-2009. However, we also include Census region (Northeast as reference category) as an additional predictor of sample inclusion in the periods overlapping with 2015-2019. </w:t>
            </w:r>
          </w:p>
          <w:p w14:paraId="39A7A88D"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b. Standard errors are in parentheses.</w:t>
            </w:r>
          </w:p>
          <w:p w14:paraId="6FF9ECCE"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c. We divide total population by 100,000 for readability as in Gyourko, Saiz and Summers (2008).</w:t>
            </w:r>
          </w:p>
          <w:p w14:paraId="61FE94E4"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d. Data come from 2005-2009 ACS 5-year estimates (retrieved from Social Explorer and using R package tidyensus) and 2015-2019 ACS 5-year estimates (retrieved using R packages tidycensus and tigris).</w:t>
            </w:r>
          </w:p>
          <w:p w14:paraId="7EA2EAFB"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 xml:space="preserve">e. We drop all census county divisions (CCDs), precincts, and census-designated places (CDPs), with the exception of CDPs in Hawaii </w:t>
            </w:r>
          </w:p>
          <w:p w14:paraId="4B1D9E90" w14:textId="77777777" w:rsidR="00644B7D" w:rsidRPr="00335032" w:rsidRDefault="00644B7D" w:rsidP="00644B7D">
            <w:pPr>
              <w:spacing w:after="0" w:line="240" w:lineRule="auto"/>
              <w:rPr>
                <w:rFonts w:ascii="Times New Roman" w:eastAsia="Times New Roman" w:hAnsi="Times New Roman" w:cs="Times New Roman"/>
                <w:iCs/>
                <w:sz w:val="18"/>
                <w:szCs w:val="24"/>
              </w:rPr>
            </w:pPr>
          </w:p>
        </w:tc>
      </w:tr>
    </w:tbl>
    <w:p w14:paraId="675C71F2" w14:textId="12E18098" w:rsidR="00043BB3" w:rsidRPr="00335032" w:rsidRDefault="00043BB3" w:rsidP="001140C0">
      <w:pPr>
        <w:spacing w:after="0" w:line="480" w:lineRule="auto"/>
        <w:rPr>
          <w:rFonts w:ascii="Times New Roman" w:eastAsia="Calibri" w:hAnsi="Times New Roman" w:cs="Times New Roman"/>
          <w:b/>
          <w:sz w:val="24"/>
          <w:szCs w:val="24"/>
        </w:rPr>
      </w:pPr>
    </w:p>
    <w:p w14:paraId="04BA57B1" w14:textId="56431A80" w:rsidR="00644B7D" w:rsidRPr="00335032" w:rsidRDefault="00644B7D" w:rsidP="001140C0">
      <w:pPr>
        <w:spacing w:after="0" w:line="480" w:lineRule="auto"/>
        <w:rPr>
          <w:rFonts w:ascii="Times New Roman" w:eastAsia="Calibri" w:hAnsi="Times New Roman" w:cs="Times New Roman"/>
          <w:b/>
          <w:sz w:val="24"/>
          <w:szCs w:val="24"/>
        </w:rPr>
      </w:pPr>
      <w:r w:rsidRPr="00335032">
        <w:rPr>
          <w:rFonts w:ascii="Times New Roman" w:eastAsia="Calibri" w:hAnsi="Times New Roman" w:cs="Times New Roman"/>
          <w:b/>
          <w:sz w:val="24"/>
          <w:szCs w:val="24"/>
        </w:rPr>
        <w:t xml:space="preserve">Table S6. </w:t>
      </w:r>
      <w:r w:rsidRPr="00335032">
        <w:rPr>
          <w:rFonts w:ascii="Times New Roman" w:eastAsia="Calibri" w:hAnsi="Times New Roman" w:cs="Times New Roman"/>
          <w:sz w:val="24"/>
          <w:szCs w:val="24"/>
        </w:rPr>
        <w:t>Summary statistics for ZRI (2019-2021) with and without survey weights</w:t>
      </w:r>
    </w:p>
    <w:tbl>
      <w:tblPr>
        <w:tblStyle w:val="TableGrid"/>
        <w:tblW w:w="0" w:type="auto"/>
        <w:tblLook w:val="04A0" w:firstRow="1" w:lastRow="0" w:firstColumn="1" w:lastColumn="0" w:noHBand="0" w:noVBand="1"/>
      </w:tblPr>
      <w:tblGrid>
        <w:gridCol w:w="1787"/>
        <w:gridCol w:w="896"/>
        <w:gridCol w:w="805"/>
        <w:gridCol w:w="1000"/>
        <w:gridCol w:w="817"/>
        <w:gridCol w:w="726"/>
        <w:gridCol w:w="754"/>
        <w:gridCol w:w="745"/>
        <w:gridCol w:w="1272"/>
      </w:tblGrid>
      <w:tr w:rsidR="00644B7D" w:rsidRPr="00335032" w14:paraId="7671F92D" w14:textId="77777777" w:rsidTr="00E7334F">
        <w:tc>
          <w:tcPr>
            <w:tcW w:w="1787" w:type="dxa"/>
          </w:tcPr>
          <w:p w14:paraId="7BC2C74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Sample</w:t>
            </w:r>
          </w:p>
        </w:tc>
        <w:tc>
          <w:tcPr>
            <w:tcW w:w="896" w:type="dxa"/>
          </w:tcPr>
          <w:p w14:paraId="7A643F3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w:t>
            </w:r>
          </w:p>
        </w:tc>
        <w:tc>
          <w:tcPr>
            <w:tcW w:w="805" w:type="dxa"/>
          </w:tcPr>
          <w:p w14:paraId="72DB13F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25</w:t>
            </w:r>
            <w:r w:rsidRPr="00335032">
              <w:rPr>
                <w:rFonts w:ascii="Times New Roman" w:eastAsia="Calibri" w:hAnsi="Times New Roman" w:cs="Times New Roman"/>
                <w:bCs/>
                <w:sz w:val="20"/>
                <w:szCs w:val="20"/>
                <w:vertAlign w:val="superscript"/>
              </w:rPr>
              <w:t>th</w:t>
            </w:r>
            <w:r w:rsidRPr="00335032">
              <w:rPr>
                <w:rFonts w:ascii="Times New Roman" w:eastAsia="Calibri" w:hAnsi="Times New Roman" w:cs="Times New Roman"/>
                <w:bCs/>
                <w:sz w:val="20"/>
                <w:szCs w:val="20"/>
              </w:rPr>
              <w:t xml:space="preserve"> pct.</w:t>
            </w:r>
          </w:p>
        </w:tc>
        <w:tc>
          <w:tcPr>
            <w:tcW w:w="1000" w:type="dxa"/>
          </w:tcPr>
          <w:p w14:paraId="599936C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Median</w:t>
            </w:r>
          </w:p>
        </w:tc>
        <w:tc>
          <w:tcPr>
            <w:tcW w:w="817" w:type="dxa"/>
          </w:tcPr>
          <w:p w14:paraId="65D85B7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Mean</w:t>
            </w:r>
          </w:p>
        </w:tc>
        <w:tc>
          <w:tcPr>
            <w:tcW w:w="726" w:type="dxa"/>
          </w:tcPr>
          <w:p w14:paraId="3839F43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75</w:t>
            </w:r>
            <w:r w:rsidRPr="00335032">
              <w:rPr>
                <w:rFonts w:ascii="Times New Roman" w:eastAsia="Calibri" w:hAnsi="Times New Roman" w:cs="Times New Roman"/>
                <w:bCs/>
                <w:sz w:val="20"/>
                <w:szCs w:val="20"/>
                <w:vertAlign w:val="superscript"/>
              </w:rPr>
              <w:t>th</w:t>
            </w:r>
            <w:r w:rsidRPr="00335032">
              <w:rPr>
                <w:rFonts w:ascii="Times New Roman" w:eastAsia="Calibri" w:hAnsi="Times New Roman" w:cs="Times New Roman"/>
                <w:bCs/>
                <w:sz w:val="20"/>
                <w:szCs w:val="20"/>
              </w:rPr>
              <w:t xml:space="preserve"> pct.</w:t>
            </w:r>
          </w:p>
        </w:tc>
        <w:tc>
          <w:tcPr>
            <w:tcW w:w="754" w:type="dxa"/>
          </w:tcPr>
          <w:p w14:paraId="225BCCB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w:t>
            </w:r>
          </w:p>
        </w:tc>
        <w:tc>
          <w:tcPr>
            <w:tcW w:w="745" w:type="dxa"/>
          </w:tcPr>
          <w:p w14:paraId="36C921F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 Dev.</w:t>
            </w:r>
          </w:p>
        </w:tc>
        <w:tc>
          <w:tcPr>
            <w:tcW w:w="1272" w:type="dxa"/>
          </w:tcPr>
          <w:p w14:paraId="5D28848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Observations</w:t>
            </w:r>
          </w:p>
        </w:tc>
      </w:tr>
      <w:tr w:rsidR="00644B7D" w:rsidRPr="00335032" w14:paraId="3C6FED88" w14:textId="77777777" w:rsidTr="00E7334F">
        <w:tc>
          <w:tcPr>
            <w:tcW w:w="1787" w:type="dxa"/>
          </w:tcPr>
          <w:p w14:paraId="0D71190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Full sample</w:t>
            </w:r>
          </w:p>
        </w:tc>
        <w:tc>
          <w:tcPr>
            <w:tcW w:w="896" w:type="dxa"/>
          </w:tcPr>
          <w:p w14:paraId="46D9E7C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309C922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-0.70</w:t>
            </w:r>
          </w:p>
        </w:tc>
        <w:tc>
          <w:tcPr>
            <w:tcW w:w="1000" w:type="dxa"/>
          </w:tcPr>
          <w:p w14:paraId="019FE77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-0.05</w:t>
            </w:r>
          </w:p>
        </w:tc>
        <w:tc>
          <w:tcPr>
            <w:tcW w:w="817" w:type="dxa"/>
          </w:tcPr>
          <w:p w14:paraId="6E7F9F6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w:t>
            </w:r>
          </w:p>
        </w:tc>
        <w:tc>
          <w:tcPr>
            <w:tcW w:w="726" w:type="dxa"/>
          </w:tcPr>
          <w:p w14:paraId="31128D0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0.69</w:t>
            </w:r>
          </w:p>
        </w:tc>
        <w:tc>
          <w:tcPr>
            <w:tcW w:w="754" w:type="dxa"/>
          </w:tcPr>
          <w:p w14:paraId="2FB938D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3.51</w:t>
            </w:r>
          </w:p>
        </w:tc>
        <w:tc>
          <w:tcPr>
            <w:tcW w:w="745" w:type="dxa"/>
          </w:tcPr>
          <w:p w14:paraId="6FC7184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1.00</w:t>
            </w:r>
          </w:p>
        </w:tc>
        <w:tc>
          <w:tcPr>
            <w:tcW w:w="1272" w:type="dxa"/>
          </w:tcPr>
          <w:p w14:paraId="43FC2DA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2,639</w:t>
            </w:r>
          </w:p>
        </w:tc>
      </w:tr>
      <w:tr w:rsidR="00644B7D" w:rsidRPr="00335032" w14:paraId="7B0EBAED" w14:textId="77777777" w:rsidTr="00E7334F">
        <w:tc>
          <w:tcPr>
            <w:tcW w:w="1787" w:type="dxa"/>
          </w:tcPr>
          <w:p w14:paraId="2CF845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Full sample with national weights</w:t>
            </w:r>
          </w:p>
        </w:tc>
        <w:tc>
          <w:tcPr>
            <w:tcW w:w="896" w:type="dxa"/>
          </w:tcPr>
          <w:p w14:paraId="4B7D40D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-27.09</w:t>
            </w:r>
          </w:p>
        </w:tc>
        <w:tc>
          <w:tcPr>
            <w:tcW w:w="805" w:type="dxa"/>
          </w:tcPr>
          <w:p w14:paraId="1F2C3D8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-1.07</w:t>
            </w:r>
          </w:p>
        </w:tc>
        <w:tc>
          <w:tcPr>
            <w:tcW w:w="1000" w:type="dxa"/>
          </w:tcPr>
          <w:p w14:paraId="7F417FA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817" w:type="dxa"/>
          </w:tcPr>
          <w:p w14:paraId="0ECBA73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-0.46</w:t>
            </w:r>
          </w:p>
        </w:tc>
        <w:tc>
          <w:tcPr>
            <w:tcW w:w="726" w:type="dxa"/>
          </w:tcPr>
          <w:p w14:paraId="35DB295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0.19</w:t>
            </w:r>
          </w:p>
        </w:tc>
        <w:tc>
          <w:tcPr>
            <w:tcW w:w="754" w:type="dxa"/>
          </w:tcPr>
          <w:p w14:paraId="33CD130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10.42</w:t>
            </w:r>
          </w:p>
        </w:tc>
        <w:tc>
          <w:tcPr>
            <w:tcW w:w="745" w:type="dxa"/>
          </w:tcPr>
          <w:p w14:paraId="5D60682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0.97</w:t>
            </w:r>
          </w:p>
        </w:tc>
        <w:tc>
          <w:tcPr>
            <w:tcW w:w="1272" w:type="dxa"/>
          </w:tcPr>
          <w:p w14:paraId="5689AF1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2,639</w:t>
            </w:r>
          </w:p>
        </w:tc>
      </w:tr>
      <w:tr w:rsidR="00644B7D" w:rsidRPr="00335032" w14:paraId="597980F3" w14:textId="77777777" w:rsidTr="00E7334F">
        <w:tc>
          <w:tcPr>
            <w:tcW w:w="1787" w:type="dxa"/>
          </w:tcPr>
          <w:p w14:paraId="7F26116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MSA sample</w:t>
            </w:r>
          </w:p>
        </w:tc>
        <w:tc>
          <w:tcPr>
            <w:tcW w:w="896" w:type="dxa"/>
          </w:tcPr>
          <w:p w14:paraId="7277823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6DCAC54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-0.54</w:t>
            </w:r>
          </w:p>
        </w:tc>
        <w:tc>
          <w:tcPr>
            <w:tcW w:w="1000" w:type="dxa"/>
          </w:tcPr>
          <w:p w14:paraId="16FE29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0.13</w:t>
            </w:r>
          </w:p>
        </w:tc>
        <w:tc>
          <w:tcPr>
            <w:tcW w:w="817" w:type="dxa"/>
          </w:tcPr>
          <w:p w14:paraId="2F90B9D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0.12</w:t>
            </w:r>
          </w:p>
        </w:tc>
        <w:tc>
          <w:tcPr>
            <w:tcW w:w="726" w:type="dxa"/>
          </w:tcPr>
          <w:p w14:paraId="5E35721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0.77</w:t>
            </w:r>
          </w:p>
        </w:tc>
        <w:tc>
          <w:tcPr>
            <w:tcW w:w="754" w:type="dxa"/>
          </w:tcPr>
          <w:p w14:paraId="4366130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3.51</w:t>
            </w:r>
          </w:p>
        </w:tc>
        <w:tc>
          <w:tcPr>
            <w:tcW w:w="745" w:type="dxa"/>
          </w:tcPr>
          <w:p w14:paraId="3DF3C78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0.99</w:t>
            </w:r>
          </w:p>
        </w:tc>
        <w:tc>
          <w:tcPr>
            <w:tcW w:w="1272" w:type="dxa"/>
          </w:tcPr>
          <w:p w14:paraId="4C399E4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2,080</w:t>
            </w:r>
          </w:p>
        </w:tc>
      </w:tr>
      <w:tr w:rsidR="00644B7D" w:rsidRPr="00335032" w14:paraId="0DBB8946" w14:textId="77777777" w:rsidTr="00E7334F">
        <w:tc>
          <w:tcPr>
            <w:tcW w:w="1787" w:type="dxa"/>
          </w:tcPr>
          <w:p w14:paraId="2554D9D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MSA sample with MSA weights</w:t>
            </w:r>
          </w:p>
        </w:tc>
        <w:tc>
          <w:tcPr>
            <w:tcW w:w="896" w:type="dxa"/>
          </w:tcPr>
          <w:p w14:paraId="43361F1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-24.24</w:t>
            </w:r>
          </w:p>
        </w:tc>
        <w:tc>
          <w:tcPr>
            <w:tcW w:w="805" w:type="dxa"/>
          </w:tcPr>
          <w:p w14:paraId="0E52A2B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-0.96</w:t>
            </w:r>
          </w:p>
        </w:tc>
        <w:tc>
          <w:tcPr>
            <w:tcW w:w="1000" w:type="dxa"/>
          </w:tcPr>
          <w:p w14:paraId="13395AF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-0.15</w:t>
            </w:r>
          </w:p>
        </w:tc>
        <w:tc>
          <w:tcPr>
            <w:tcW w:w="817" w:type="dxa"/>
          </w:tcPr>
          <w:p w14:paraId="1A64763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-0.21</w:t>
            </w:r>
          </w:p>
        </w:tc>
        <w:tc>
          <w:tcPr>
            <w:tcW w:w="726" w:type="dxa"/>
          </w:tcPr>
          <w:p w14:paraId="1B1757A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754" w:type="dxa"/>
          </w:tcPr>
          <w:p w14:paraId="698A3BF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12.15</w:t>
            </w:r>
          </w:p>
        </w:tc>
        <w:tc>
          <w:tcPr>
            <w:tcW w:w="745" w:type="dxa"/>
          </w:tcPr>
          <w:p w14:paraId="772B699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1.00</w:t>
            </w:r>
          </w:p>
        </w:tc>
        <w:tc>
          <w:tcPr>
            <w:tcW w:w="1272" w:type="dxa"/>
          </w:tcPr>
          <w:p w14:paraId="577DBCA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2,080</w:t>
            </w:r>
          </w:p>
        </w:tc>
      </w:tr>
      <w:tr w:rsidR="00644B7D" w:rsidRPr="00335032" w14:paraId="62380CAE" w14:textId="77777777" w:rsidTr="00E7334F">
        <w:tc>
          <w:tcPr>
            <w:tcW w:w="1787" w:type="dxa"/>
          </w:tcPr>
          <w:p w14:paraId="6E8DE8C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Non-MSA sample</w:t>
            </w:r>
          </w:p>
        </w:tc>
        <w:tc>
          <w:tcPr>
            <w:tcW w:w="896" w:type="dxa"/>
          </w:tcPr>
          <w:p w14:paraId="55288D9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0FCC853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-1.07</w:t>
            </w:r>
          </w:p>
        </w:tc>
        <w:tc>
          <w:tcPr>
            <w:tcW w:w="1000" w:type="dxa"/>
          </w:tcPr>
          <w:p w14:paraId="3420558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-0.51</w:t>
            </w:r>
          </w:p>
        </w:tc>
        <w:tc>
          <w:tcPr>
            <w:tcW w:w="817" w:type="dxa"/>
          </w:tcPr>
          <w:p w14:paraId="577D996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-0.43</w:t>
            </w:r>
          </w:p>
        </w:tc>
        <w:tc>
          <w:tcPr>
            <w:tcW w:w="726" w:type="dxa"/>
          </w:tcPr>
          <w:p w14:paraId="0873905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0.18</w:t>
            </w:r>
          </w:p>
        </w:tc>
        <w:tc>
          <w:tcPr>
            <w:tcW w:w="754" w:type="dxa"/>
          </w:tcPr>
          <w:p w14:paraId="5476083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2.51</w:t>
            </w:r>
          </w:p>
        </w:tc>
        <w:tc>
          <w:tcPr>
            <w:tcW w:w="745" w:type="dxa"/>
          </w:tcPr>
          <w:p w14:paraId="4F26FEC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0.92</w:t>
            </w:r>
          </w:p>
        </w:tc>
        <w:tc>
          <w:tcPr>
            <w:tcW w:w="1272" w:type="dxa"/>
          </w:tcPr>
          <w:p w14:paraId="2609D4D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578</w:t>
            </w:r>
          </w:p>
        </w:tc>
      </w:tr>
      <w:tr w:rsidR="00644B7D" w:rsidRPr="00335032" w14:paraId="22865436" w14:textId="77777777" w:rsidTr="00E7334F">
        <w:tc>
          <w:tcPr>
            <w:tcW w:w="1787" w:type="dxa"/>
          </w:tcPr>
          <w:p w14:paraId="1B4B6CB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Absolute difference between unweighted and weighted MSA-level ZRI scores among MSAs with at least 10 municipalities </w:t>
            </w:r>
          </w:p>
        </w:tc>
        <w:tc>
          <w:tcPr>
            <w:tcW w:w="896" w:type="dxa"/>
          </w:tcPr>
          <w:p w14:paraId="37968BD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0.00</w:t>
            </w:r>
          </w:p>
        </w:tc>
        <w:tc>
          <w:tcPr>
            <w:tcW w:w="805" w:type="dxa"/>
          </w:tcPr>
          <w:p w14:paraId="257F650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0.06</w:t>
            </w:r>
          </w:p>
        </w:tc>
        <w:tc>
          <w:tcPr>
            <w:tcW w:w="1000" w:type="dxa"/>
          </w:tcPr>
          <w:p w14:paraId="2353F15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0.19</w:t>
            </w:r>
          </w:p>
        </w:tc>
        <w:tc>
          <w:tcPr>
            <w:tcW w:w="817" w:type="dxa"/>
          </w:tcPr>
          <w:p w14:paraId="665FA0F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0.30</w:t>
            </w:r>
          </w:p>
        </w:tc>
        <w:tc>
          <w:tcPr>
            <w:tcW w:w="726" w:type="dxa"/>
          </w:tcPr>
          <w:p w14:paraId="7DAE898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0.36</w:t>
            </w:r>
          </w:p>
        </w:tc>
        <w:tc>
          <w:tcPr>
            <w:tcW w:w="754" w:type="dxa"/>
          </w:tcPr>
          <w:p w14:paraId="2BDE040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2.2</w:t>
            </w:r>
          </w:p>
        </w:tc>
        <w:tc>
          <w:tcPr>
            <w:tcW w:w="745" w:type="dxa"/>
          </w:tcPr>
          <w:p w14:paraId="7F4DB5F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0.38</w:t>
            </w:r>
          </w:p>
        </w:tc>
        <w:tc>
          <w:tcPr>
            <w:tcW w:w="1272" w:type="dxa"/>
          </w:tcPr>
          <w:p w14:paraId="6349D53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48</w:t>
            </w:r>
          </w:p>
        </w:tc>
      </w:tr>
    </w:tbl>
    <w:p w14:paraId="1659674C" w14:textId="77777777" w:rsidR="00644B7D" w:rsidRPr="00335032"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Notes: We take the additional step of stabilizing our weights to guard against extreme weights and to reduce the variance.</w:t>
      </w:r>
    </w:p>
    <w:p w14:paraId="7EDC939D" w14:textId="77777777" w:rsidR="00644B7D" w:rsidRPr="00335032" w:rsidRDefault="00644B7D" w:rsidP="00644B7D">
      <w:pPr>
        <w:spacing w:after="0" w:line="240" w:lineRule="auto"/>
        <w:rPr>
          <w:rFonts w:ascii="Times New Roman" w:eastAsia="Calibri" w:hAnsi="Times New Roman" w:cs="Times New Roman"/>
          <w:sz w:val="18"/>
          <w:szCs w:val="24"/>
        </w:rPr>
      </w:pPr>
    </w:p>
    <w:p w14:paraId="6F17F966" w14:textId="77777777" w:rsidR="00644B7D" w:rsidRPr="00335032" w:rsidRDefault="00644B7D" w:rsidP="00644B7D">
      <w:pPr>
        <w:spacing w:after="0" w:line="480" w:lineRule="auto"/>
        <w:rPr>
          <w:rFonts w:ascii="Times New Roman" w:eastAsia="Calibri" w:hAnsi="Times New Roman" w:cs="Times New Roman"/>
          <w:b/>
          <w:sz w:val="24"/>
          <w:szCs w:val="24"/>
        </w:rPr>
      </w:pPr>
    </w:p>
    <w:p w14:paraId="449192DE" w14:textId="5C267A01" w:rsidR="00644B7D" w:rsidRPr="00335032" w:rsidRDefault="00644B7D" w:rsidP="00644B7D">
      <w:pPr>
        <w:spacing w:after="0" w:line="240" w:lineRule="auto"/>
        <w:rPr>
          <w:rFonts w:ascii="Times New Roman" w:eastAsia="Calibri" w:hAnsi="Times New Roman" w:cs="Times New Roman"/>
          <w:b/>
          <w:sz w:val="24"/>
          <w:szCs w:val="24"/>
        </w:rPr>
      </w:pPr>
      <w:r w:rsidRPr="00335032">
        <w:rPr>
          <w:rFonts w:ascii="Times New Roman" w:hAnsi="Times New Roman" w:cs="Times New Roman"/>
          <w:bCs/>
          <w:sz w:val="24"/>
          <w:szCs w:val="24"/>
        </w:rPr>
        <w:t xml:space="preserve">The results in Table S6 indicate that applying survey weights does not lead to dramatically different distributions of ZRI scores. The results reveal that less regulated municipalities are less likely to be included in the full and MSA samples. This is reflected in the down-weighting of ZRI scores in the weighted results. Moreover, the magnitude of the minimum and maximum ZRI scores is amplified in the weighted results. Finally, the differences between weighted and unweighted MSA-level ZRI scores among MSAs with at least 10 municipalities are generally minor.  </w:t>
      </w:r>
    </w:p>
    <w:p w14:paraId="5A00458D" w14:textId="77777777" w:rsidR="00644B7D" w:rsidRPr="00335032" w:rsidRDefault="00644B7D" w:rsidP="00644B7D">
      <w:pPr>
        <w:spacing w:after="0" w:line="480" w:lineRule="auto"/>
        <w:rPr>
          <w:rFonts w:ascii="Times New Roman" w:eastAsia="Calibri" w:hAnsi="Times New Roman" w:cs="Times New Roman"/>
          <w:b/>
          <w:sz w:val="24"/>
          <w:szCs w:val="24"/>
        </w:rPr>
      </w:pPr>
    </w:p>
    <w:p w14:paraId="577918E0" w14:textId="77777777" w:rsidR="00644B7D" w:rsidRPr="00335032" w:rsidRDefault="00644B7D" w:rsidP="00644B7D">
      <w:pPr>
        <w:spacing w:after="0" w:line="480" w:lineRule="auto"/>
        <w:rPr>
          <w:rFonts w:ascii="Times New Roman" w:eastAsia="Calibri" w:hAnsi="Times New Roman" w:cs="Times New Roman"/>
          <w:b/>
          <w:sz w:val="24"/>
          <w:szCs w:val="24"/>
        </w:rPr>
      </w:pPr>
    </w:p>
    <w:p w14:paraId="0D289630" w14:textId="77777777" w:rsidR="00644B7D" w:rsidRPr="00335032" w:rsidRDefault="00644B7D" w:rsidP="00644B7D">
      <w:pPr>
        <w:spacing w:after="0" w:line="480" w:lineRule="auto"/>
        <w:rPr>
          <w:rFonts w:ascii="Times New Roman" w:eastAsia="Calibri" w:hAnsi="Times New Roman" w:cs="Times New Roman"/>
          <w:b/>
          <w:sz w:val="24"/>
          <w:szCs w:val="24"/>
        </w:rPr>
      </w:pPr>
    </w:p>
    <w:p w14:paraId="5C20C909" w14:textId="77777777" w:rsidR="001140C0" w:rsidRPr="00335032" w:rsidRDefault="001140C0" w:rsidP="00644B7D">
      <w:pPr>
        <w:spacing w:after="0" w:line="240" w:lineRule="auto"/>
        <w:rPr>
          <w:rFonts w:ascii="Times New Roman" w:eastAsia="Calibri" w:hAnsi="Times New Roman" w:cs="Times New Roman"/>
          <w:b/>
          <w:sz w:val="24"/>
          <w:szCs w:val="24"/>
        </w:rPr>
      </w:pPr>
    </w:p>
    <w:p w14:paraId="0D024F6F" w14:textId="77777777" w:rsidR="001140C0" w:rsidRPr="00335032" w:rsidRDefault="001140C0" w:rsidP="00644B7D">
      <w:pPr>
        <w:spacing w:after="0" w:line="240" w:lineRule="auto"/>
        <w:rPr>
          <w:rFonts w:ascii="Times New Roman" w:eastAsia="Calibri" w:hAnsi="Times New Roman" w:cs="Times New Roman"/>
          <w:b/>
          <w:sz w:val="24"/>
          <w:szCs w:val="24"/>
        </w:rPr>
      </w:pPr>
    </w:p>
    <w:p w14:paraId="29BD075B" w14:textId="77777777" w:rsidR="001140C0" w:rsidRPr="00335032" w:rsidRDefault="001140C0" w:rsidP="00644B7D">
      <w:pPr>
        <w:spacing w:after="0" w:line="240" w:lineRule="auto"/>
        <w:rPr>
          <w:rFonts w:ascii="Times New Roman" w:eastAsia="Calibri" w:hAnsi="Times New Roman" w:cs="Times New Roman"/>
          <w:b/>
          <w:sz w:val="24"/>
          <w:szCs w:val="24"/>
        </w:rPr>
      </w:pPr>
    </w:p>
    <w:p w14:paraId="6C872E59" w14:textId="77777777" w:rsidR="001140C0" w:rsidRPr="00335032" w:rsidRDefault="001140C0" w:rsidP="00644B7D">
      <w:pPr>
        <w:spacing w:after="0" w:line="240" w:lineRule="auto"/>
        <w:rPr>
          <w:rFonts w:ascii="Times New Roman" w:eastAsia="Calibri" w:hAnsi="Times New Roman" w:cs="Times New Roman"/>
          <w:b/>
          <w:sz w:val="24"/>
          <w:szCs w:val="24"/>
        </w:rPr>
      </w:pPr>
    </w:p>
    <w:p w14:paraId="2FC3CA36" w14:textId="77777777" w:rsidR="001140C0" w:rsidRPr="00335032" w:rsidRDefault="001140C0" w:rsidP="00644B7D">
      <w:pPr>
        <w:spacing w:after="0" w:line="240" w:lineRule="auto"/>
        <w:rPr>
          <w:rFonts w:ascii="Times New Roman" w:eastAsia="Calibri" w:hAnsi="Times New Roman" w:cs="Times New Roman"/>
          <w:b/>
          <w:sz w:val="24"/>
          <w:szCs w:val="24"/>
        </w:rPr>
      </w:pPr>
    </w:p>
    <w:p w14:paraId="4CA9CBB9" w14:textId="77777777" w:rsidR="001140C0" w:rsidRPr="00335032" w:rsidRDefault="001140C0" w:rsidP="00644B7D">
      <w:pPr>
        <w:spacing w:after="0" w:line="240" w:lineRule="auto"/>
        <w:rPr>
          <w:rFonts w:ascii="Times New Roman" w:eastAsia="Calibri" w:hAnsi="Times New Roman" w:cs="Times New Roman"/>
          <w:b/>
          <w:sz w:val="24"/>
          <w:szCs w:val="24"/>
        </w:rPr>
      </w:pPr>
    </w:p>
    <w:p w14:paraId="01B3322E" w14:textId="77777777" w:rsidR="001140C0" w:rsidRPr="00335032" w:rsidRDefault="001140C0" w:rsidP="00644B7D">
      <w:pPr>
        <w:spacing w:after="0" w:line="240" w:lineRule="auto"/>
        <w:rPr>
          <w:rFonts w:ascii="Times New Roman" w:eastAsia="Calibri" w:hAnsi="Times New Roman" w:cs="Times New Roman"/>
          <w:b/>
          <w:sz w:val="24"/>
          <w:szCs w:val="24"/>
        </w:rPr>
      </w:pPr>
    </w:p>
    <w:p w14:paraId="486A281B" w14:textId="77777777" w:rsidR="001140C0" w:rsidRPr="00335032" w:rsidRDefault="001140C0" w:rsidP="00644B7D">
      <w:pPr>
        <w:spacing w:after="0" w:line="240" w:lineRule="auto"/>
        <w:rPr>
          <w:rFonts w:ascii="Times New Roman" w:eastAsia="Calibri" w:hAnsi="Times New Roman" w:cs="Times New Roman"/>
          <w:b/>
          <w:sz w:val="24"/>
          <w:szCs w:val="24"/>
        </w:rPr>
      </w:pPr>
    </w:p>
    <w:p w14:paraId="038A5D9A" w14:textId="77777777" w:rsidR="001140C0" w:rsidRPr="00335032" w:rsidRDefault="001140C0" w:rsidP="00644B7D">
      <w:pPr>
        <w:spacing w:after="0" w:line="240" w:lineRule="auto"/>
        <w:rPr>
          <w:rFonts w:ascii="Times New Roman" w:eastAsia="Calibri" w:hAnsi="Times New Roman" w:cs="Times New Roman"/>
          <w:b/>
          <w:sz w:val="24"/>
          <w:szCs w:val="24"/>
        </w:rPr>
      </w:pPr>
    </w:p>
    <w:p w14:paraId="1A92F2A6" w14:textId="77777777" w:rsidR="001140C0" w:rsidRPr="00335032" w:rsidRDefault="001140C0" w:rsidP="00644B7D">
      <w:pPr>
        <w:spacing w:after="0" w:line="240" w:lineRule="auto"/>
        <w:rPr>
          <w:rFonts w:ascii="Times New Roman" w:eastAsia="Calibri" w:hAnsi="Times New Roman" w:cs="Times New Roman"/>
          <w:b/>
          <w:sz w:val="24"/>
          <w:szCs w:val="24"/>
        </w:rPr>
      </w:pPr>
    </w:p>
    <w:p w14:paraId="72D2BD27" w14:textId="77777777" w:rsidR="001140C0" w:rsidRPr="00335032" w:rsidRDefault="001140C0" w:rsidP="00644B7D">
      <w:pPr>
        <w:spacing w:after="0" w:line="240" w:lineRule="auto"/>
        <w:rPr>
          <w:rFonts w:ascii="Times New Roman" w:eastAsia="Calibri" w:hAnsi="Times New Roman" w:cs="Times New Roman"/>
          <w:b/>
          <w:sz w:val="24"/>
          <w:szCs w:val="24"/>
        </w:rPr>
      </w:pPr>
    </w:p>
    <w:p w14:paraId="7DE3212B" w14:textId="77777777" w:rsidR="001140C0" w:rsidRPr="00335032" w:rsidRDefault="001140C0" w:rsidP="00644B7D">
      <w:pPr>
        <w:spacing w:after="0" w:line="240" w:lineRule="auto"/>
        <w:rPr>
          <w:rFonts w:ascii="Times New Roman" w:eastAsia="Calibri" w:hAnsi="Times New Roman" w:cs="Times New Roman"/>
          <w:b/>
          <w:sz w:val="24"/>
          <w:szCs w:val="24"/>
        </w:rPr>
      </w:pPr>
    </w:p>
    <w:p w14:paraId="7880D429" w14:textId="77777777" w:rsidR="001140C0" w:rsidRPr="00335032" w:rsidRDefault="001140C0" w:rsidP="00644B7D">
      <w:pPr>
        <w:spacing w:after="0" w:line="240" w:lineRule="auto"/>
        <w:rPr>
          <w:rFonts w:ascii="Times New Roman" w:eastAsia="Calibri" w:hAnsi="Times New Roman" w:cs="Times New Roman"/>
          <w:b/>
          <w:sz w:val="24"/>
          <w:szCs w:val="24"/>
        </w:rPr>
      </w:pPr>
    </w:p>
    <w:p w14:paraId="551B3EB2" w14:textId="0D7C66CF" w:rsidR="00644B7D" w:rsidRPr="00335032" w:rsidRDefault="00644B7D" w:rsidP="00644B7D">
      <w:pPr>
        <w:spacing w:after="0" w:line="240" w:lineRule="auto"/>
        <w:rPr>
          <w:rFonts w:ascii="Times New Roman" w:eastAsia="Calibri" w:hAnsi="Times New Roman" w:cs="Times New Roman"/>
          <w:bCs/>
          <w:sz w:val="24"/>
          <w:szCs w:val="24"/>
        </w:rPr>
      </w:pPr>
      <w:r w:rsidRPr="00335032">
        <w:rPr>
          <w:rFonts w:ascii="Times New Roman" w:eastAsia="Calibri" w:hAnsi="Times New Roman" w:cs="Times New Roman"/>
          <w:b/>
          <w:sz w:val="24"/>
          <w:szCs w:val="24"/>
        </w:rPr>
        <w:t xml:space="preserve">Table S7. </w:t>
      </w:r>
      <w:r w:rsidRPr="00335032">
        <w:rPr>
          <w:rFonts w:ascii="Times New Roman" w:eastAsia="Calibri" w:hAnsi="Times New Roman" w:cs="Times New Roman"/>
          <w:sz w:val="24"/>
          <w:szCs w:val="24"/>
        </w:rPr>
        <w:t xml:space="preserve">Comparison of individual components of the No Rezoning (NZI) and Rezoning (RZI) subindices with Wharton Residential Land Use Regulatory Index 2018 sample </w:t>
      </w:r>
    </w:p>
    <w:p w14:paraId="1141041D"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1826"/>
        <w:gridCol w:w="1504"/>
        <w:gridCol w:w="1505"/>
        <w:gridCol w:w="1505"/>
        <w:gridCol w:w="1505"/>
        <w:gridCol w:w="1505"/>
      </w:tblGrid>
      <w:tr w:rsidR="00644B7D" w:rsidRPr="00335032" w14:paraId="64B931B0" w14:textId="77777777" w:rsidTr="00E7334F">
        <w:tc>
          <w:tcPr>
            <w:tcW w:w="1826" w:type="dxa"/>
          </w:tcPr>
          <w:p w14:paraId="06479106"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Measure</w:t>
            </w:r>
          </w:p>
        </w:tc>
        <w:tc>
          <w:tcPr>
            <w:tcW w:w="3009" w:type="dxa"/>
            <w:gridSpan w:val="2"/>
          </w:tcPr>
          <w:p w14:paraId="02934769" w14:textId="77777777" w:rsidR="00644B7D" w:rsidRPr="00335032" w:rsidRDefault="00644B7D" w:rsidP="00644B7D">
            <w:pPr>
              <w:jc w:val="center"/>
              <w:rPr>
                <w:rFonts w:ascii="Times New Roman" w:eastAsia="Calibri" w:hAnsi="Times New Roman" w:cs="Times New Roman"/>
                <w:b/>
                <w:sz w:val="18"/>
                <w:szCs w:val="24"/>
              </w:rPr>
            </w:pPr>
            <w:r w:rsidRPr="00335032">
              <w:rPr>
                <w:rFonts w:ascii="Times New Roman" w:eastAsia="Calibri" w:hAnsi="Times New Roman" w:cs="Times New Roman"/>
                <w:sz w:val="18"/>
                <w:szCs w:val="24"/>
              </w:rPr>
              <w:t>All municipalities</w:t>
            </w:r>
          </w:p>
        </w:tc>
        <w:tc>
          <w:tcPr>
            <w:tcW w:w="4515" w:type="dxa"/>
            <w:gridSpan w:val="3"/>
          </w:tcPr>
          <w:p w14:paraId="67272B68"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both Wharton Residential Land Use Regulatory Index samples</w:t>
            </w:r>
          </w:p>
        </w:tc>
      </w:tr>
      <w:tr w:rsidR="00644B7D" w:rsidRPr="00335032" w14:paraId="51AEE0C0" w14:textId="77777777" w:rsidTr="00E7334F">
        <w:tc>
          <w:tcPr>
            <w:tcW w:w="1826" w:type="dxa"/>
          </w:tcPr>
          <w:p w14:paraId="2FB415EA" w14:textId="77777777" w:rsidR="00644B7D" w:rsidRPr="00335032" w:rsidRDefault="00644B7D" w:rsidP="00644B7D">
            <w:pPr>
              <w:rPr>
                <w:rFonts w:ascii="Times New Roman" w:eastAsia="Calibri" w:hAnsi="Times New Roman" w:cs="Times New Roman"/>
                <w:b/>
                <w:sz w:val="24"/>
                <w:szCs w:val="24"/>
              </w:rPr>
            </w:pPr>
          </w:p>
        </w:tc>
        <w:tc>
          <w:tcPr>
            <w:tcW w:w="1504" w:type="dxa"/>
          </w:tcPr>
          <w:p w14:paraId="2AB977D8"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National Zoning and Land Use Database (N=2,639)</w:t>
            </w:r>
          </w:p>
        </w:tc>
        <w:tc>
          <w:tcPr>
            <w:tcW w:w="1505" w:type="dxa"/>
          </w:tcPr>
          <w:p w14:paraId="28375809"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24"/>
              </w:rPr>
              <w:t xml:space="preserve">Wharton Residential Land Use Regulatory Index </w:t>
            </w:r>
            <w:r w:rsidRPr="00335032">
              <w:rPr>
                <w:rFonts w:ascii="Times New Roman" w:eastAsia="Calibri" w:hAnsi="Times New Roman" w:cs="Times New Roman"/>
                <w:sz w:val="18"/>
                <w:szCs w:val="18"/>
              </w:rPr>
              <w:t>2018 (N=2,844)</w:t>
            </w:r>
          </w:p>
        </w:tc>
        <w:tc>
          <w:tcPr>
            <w:tcW w:w="1505" w:type="dxa"/>
          </w:tcPr>
          <w:p w14:paraId="6E391E71"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National Zoning and Land Use Database values (N=874)</w:t>
            </w:r>
          </w:p>
        </w:tc>
        <w:tc>
          <w:tcPr>
            <w:tcW w:w="1505" w:type="dxa"/>
          </w:tcPr>
          <w:p w14:paraId="2051D8B4"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24"/>
              </w:rPr>
              <w:t xml:space="preserve">Wharton Residential Land Use Regulatory Index </w:t>
            </w:r>
            <w:r w:rsidRPr="00335032">
              <w:rPr>
                <w:rFonts w:ascii="Times New Roman" w:eastAsia="Calibri" w:hAnsi="Times New Roman" w:cs="Times New Roman"/>
                <w:sz w:val="18"/>
                <w:szCs w:val="18"/>
              </w:rPr>
              <w:t>2018 values (N=874)</w:t>
            </w:r>
          </w:p>
        </w:tc>
        <w:tc>
          <w:tcPr>
            <w:tcW w:w="1505" w:type="dxa"/>
          </w:tcPr>
          <w:p w14:paraId="7EF32A68"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Matching values (N= 874)</w:t>
            </w:r>
          </w:p>
        </w:tc>
      </w:tr>
      <w:tr w:rsidR="00644B7D" w:rsidRPr="00335032" w14:paraId="2A18B115" w14:textId="77777777" w:rsidTr="00E7334F">
        <w:tc>
          <w:tcPr>
            <w:tcW w:w="1826" w:type="dxa"/>
          </w:tcPr>
          <w:p w14:paraId="3CF10117"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Council approval</w:t>
            </w:r>
          </w:p>
        </w:tc>
        <w:tc>
          <w:tcPr>
            <w:tcW w:w="1504" w:type="dxa"/>
          </w:tcPr>
          <w:p w14:paraId="04C392F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0.81</w:t>
            </w:r>
          </w:p>
        </w:tc>
        <w:tc>
          <w:tcPr>
            <w:tcW w:w="1505" w:type="dxa"/>
          </w:tcPr>
          <w:p w14:paraId="5DE8FB3F"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0.56</w:t>
            </w:r>
          </w:p>
        </w:tc>
        <w:tc>
          <w:tcPr>
            <w:tcW w:w="1505" w:type="dxa"/>
          </w:tcPr>
          <w:p w14:paraId="4DFB759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0.85</w:t>
            </w:r>
          </w:p>
        </w:tc>
        <w:tc>
          <w:tcPr>
            <w:tcW w:w="1505" w:type="dxa"/>
          </w:tcPr>
          <w:p w14:paraId="42DB8D5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0.55</w:t>
            </w:r>
          </w:p>
        </w:tc>
        <w:tc>
          <w:tcPr>
            <w:tcW w:w="1505" w:type="dxa"/>
          </w:tcPr>
          <w:p w14:paraId="7BCAB1EC"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0.56</w:t>
            </w:r>
          </w:p>
        </w:tc>
      </w:tr>
      <w:tr w:rsidR="00644B7D" w:rsidRPr="00335032" w14:paraId="58D066F1" w14:textId="77777777" w:rsidTr="00E7334F">
        <w:tc>
          <w:tcPr>
            <w:tcW w:w="1826" w:type="dxa"/>
          </w:tcPr>
          <w:p w14:paraId="104E405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Planning board approval</w:t>
            </w:r>
          </w:p>
        </w:tc>
        <w:tc>
          <w:tcPr>
            <w:tcW w:w="1504" w:type="dxa"/>
          </w:tcPr>
          <w:p w14:paraId="2506BE3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c>
          <w:tcPr>
            <w:tcW w:w="1505" w:type="dxa"/>
          </w:tcPr>
          <w:p w14:paraId="0EBC2CC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0.66</w:t>
            </w:r>
          </w:p>
        </w:tc>
        <w:tc>
          <w:tcPr>
            <w:tcW w:w="1505" w:type="dxa"/>
          </w:tcPr>
          <w:p w14:paraId="640FB91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c>
          <w:tcPr>
            <w:tcW w:w="1505" w:type="dxa"/>
          </w:tcPr>
          <w:p w14:paraId="4A3CBAE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0.67</w:t>
            </w:r>
          </w:p>
        </w:tc>
        <w:tc>
          <w:tcPr>
            <w:tcW w:w="1505" w:type="dxa"/>
          </w:tcPr>
          <w:p w14:paraId="16DA894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0.64</w:t>
            </w:r>
          </w:p>
        </w:tc>
      </w:tr>
      <w:tr w:rsidR="00644B7D" w:rsidRPr="00335032" w14:paraId="4A22203B" w14:textId="77777777" w:rsidTr="00E7334F">
        <w:tc>
          <w:tcPr>
            <w:tcW w:w="1826" w:type="dxa"/>
          </w:tcPr>
          <w:p w14:paraId="4E0A0DB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Site design review board approval</w:t>
            </w:r>
          </w:p>
        </w:tc>
        <w:tc>
          <w:tcPr>
            <w:tcW w:w="1504" w:type="dxa"/>
          </w:tcPr>
          <w:p w14:paraId="72BCB0A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0.20</w:t>
            </w:r>
          </w:p>
        </w:tc>
        <w:tc>
          <w:tcPr>
            <w:tcW w:w="1505" w:type="dxa"/>
          </w:tcPr>
          <w:p w14:paraId="4BD1864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0.15</w:t>
            </w:r>
          </w:p>
        </w:tc>
        <w:tc>
          <w:tcPr>
            <w:tcW w:w="1505" w:type="dxa"/>
          </w:tcPr>
          <w:p w14:paraId="40183D1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0.21</w:t>
            </w:r>
          </w:p>
        </w:tc>
        <w:tc>
          <w:tcPr>
            <w:tcW w:w="1505" w:type="dxa"/>
          </w:tcPr>
          <w:p w14:paraId="7CEB534B"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0.16</w:t>
            </w:r>
          </w:p>
        </w:tc>
        <w:tc>
          <w:tcPr>
            <w:tcW w:w="1505" w:type="dxa"/>
          </w:tcPr>
          <w:p w14:paraId="6AE7653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0.76</w:t>
            </w:r>
          </w:p>
        </w:tc>
      </w:tr>
      <w:tr w:rsidR="00644B7D" w:rsidRPr="00335032" w14:paraId="7C5EB001" w14:textId="77777777" w:rsidTr="00E7334F">
        <w:tc>
          <w:tcPr>
            <w:tcW w:w="1826" w:type="dxa"/>
          </w:tcPr>
          <w:p w14:paraId="1A3B5506"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County board approval</w:t>
            </w:r>
          </w:p>
        </w:tc>
        <w:tc>
          <w:tcPr>
            <w:tcW w:w="1504" w:type="dxa"/>
          </w:tcPr>
          <w:p w14:paraId="713975A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0.14</w:t>
            </w:r>
          </w:p>
        </w:tc>
        <w:tc>
          <w:tcPr>
            <w:tcW w:w="1505" w:type="dxa"/>
          </w:tcPr>
          <w:p w14:paraId="4462B95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0.07</w:t>
            </w:r>
          </w:p>
        </w:tc>
        <w:tc>
          <w:tcPr>
            <w:tcW w:w="1505" w:type="dxa"/>
          </w:tcPr>
          <w:p w14:paraId="1A6E2C2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0FA1C32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4BC9160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0.96</w:t>
            </w:r>
          </w:p>
        </w:tc>
      </w:tr>
      <w:tr w:rsidR="00644B7D" w:rsidRPr="00335032" w14:paraId="0DCC411B" w14:textId="77777777" w:rsidTr="00E7334F">
        <w:tc>
          <w:tcPr>
            <w:tcW w:w="1826" w:type="dxa"/>
          </w:tcPr>
          <w:p w14:paraId="57930FAC"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Environmental review board approval</w:t>
            </w:r>
          </w:p>
        </w:tc>
        <w:tc>
          <w:tcPr>
            <w:tcW w:w="1504" w:type="dxa"/>
          </w:tcPr>
          <w:p w14:paraId="3FCD165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39DE23A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0.10</w:t>
            </w:r>
          </w:p>
        </w:tc>
        <w:tc>
          <w:tcPr>
            <w:tcW w:w="1505" w:type="dxa"/>
          </w:tcPr>
          <w:p w14:paraId="1A0A8BA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219CFC5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1E89213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r>
      <w:tr w:rsidR="00644B7D" w:rsidRPr="00335032" w14:paraId="4A4AF1B0" w14:textId="77777777" w:rsidTr="00E7334F">
        <w:tc>
          <w:tcPr>
            <w:tcW w:w="1826" w:type="dxa"/>
          </w:tcPr>
          <w:p w14:paraId="6FEA6187"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Public health board approval</w:t>
            </w:r>
          </w:p>
        </w:tc>
        <w:tc>
          <w:tcPr>
            <w:tcW w:w="1504" w:type="dxa"/>
          </w:tcPr>
          <w:p w14:paraId="0DAC652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0.05</w:t>
            </w:r>
          </w:p>
        </w:tc>
        <w:tc>
          <w:tcPr>
            <w:tcW w:w="1505" w:type="dxa"/>
          </w:tcPr>
          <w:p w14:paraId="29B0DB8A"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0.11</w:t>
            </w:r>
          </w:p>
        </w:tc>
        <w:tc>
          <w:tcPr>
            <w:tcW w:w="1505" w:type="dxa"/>
          </w:tcPr>
          <w:p w14:paraId="00E2FF3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0.05</w:t>
            </w:r>
          </w:p>
        </w:tc>
        <w:tc>
          <w:tcPr>
            <w:tcW w:w="1505" w:type="dxa"/>
          </w:tcPr>
          <w:p w14:paraId="1F65E92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23AD4C0A"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0.90</w:t>
            </w:r>
          </w:p>
        </w:tc>
      </w:tr>
      <w:tr w:rsidR="00644B7D" w:rsidRPr="00335032" w14:paraId="7E8BE942" w14:textId="77777777" w:rsidTr="00E7334F">
        <w:tc>
          <w:tcPr>
            <w:tcW w:w="1826" w:type="dxa"/>
          </w:tcPr>
          <w:p w14:paraId="3826CB29"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Council approval</w:t>
            </w:r>
          </w:p>
        </w:tc>
        <w:tc>
          <w:tcPr>
            <w:tcW w:w="1504" w:type="dxa"/>
          </w:tcPr>
          <w:p w14:paraId="434CBA5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0.91</w:t>
            </w:r>
          </w:p>
        </w:tc>
        <w:tc>
          <w:tcPr>
            <w:tcW w:w="1505" w:type="dxa"/>
          </w:tcPr>
          <w:p w14:paraId="71964CC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0.77</w:t>
            </w:r>
          </w:p>
        </w:tc>
        <w:tc>
          <w:tcPr>
            <w:tcW w:w="1505" w:type="dxa"/>
          </w:tcPr>
          <w:p w14:paraId="2E0CB46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c>
          <w:tcPr>
            <w:tcW w:w="1505" w:type="dxa"/>
          </w:tcPr>
          <w:p w14:paraId="3871B72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0.87</w:t>
            </w:r>
          </w:p>
        </w:tc>
        <w:tc>
          <w:tcPr>
            <w:tcW w:w="1505" w:type="dxa"/>
          </w:tcPr>
          <w:p w14:paraId="7D8BFD93"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0.86</w:t>
            </w:r>
          </w:p>
        </w:tc>
      </w:tr>
      <w:tr w:rsidR="00644B7D" w:rsidRPr="00335032" w14:paraId="12A58FB9" w14:textId="77777777" w:rsidTr="00E7334F">
        <w:tc>
          <w:tcPr>
            <w:tcW w:w="1826" w:type="dxa"/>
          </w:tcPr>
          <w:p w14:paraId="588088BA"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Planning board approval</w:t>
            </w:r>
          </w:p>
        </w:tc>
        <w:tc>
          <w:tcPr>
            <w:tcW w:w="1504" w:type="dxa"/>
          </w:tcPr>
          <w:p w14:paraId="560A3C3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0.97</w:t>
            </w:r>
          </w:p>
        </w:tc>
        <w:tc>
          <w:tcPr>
            <w:tcW w:w="1505" w:type="dxa"/>
          </w:tcPr>
          <w:p w14:paraId="61B59C8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0.81</w:t>
            </w:r>
          </w:p>
        </w:tc>
        <w:tc>
          <w:tcPr>
            <w:tcW w:w="1505" w:type="dxa"/>
          </w:tcPr>
          <w:p w14:paraId="0F42622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0.96</w:t>
            </w:r>
          </w:p>
        </w:tc>
        <w:tc>
          <w:tcPr>
            <w:tcW w:w="1505" w:type="dxa"/>
          </w:tcPr>
          <w:p w14:paraId="00BD133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0.87</w:t>
            </w:r>
          </w:p>
        </w:tc>
        <w:tc>
          <w:tcPr>
            <w:tcW w:w="1505" w:type="dxa"/>
          </w:tcPr>
          <w:p w14:paraId="70980285"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0.85</w:t>
            </w:r>
          </w:p>
        </w:tc>
      </w:tr>
      <w:tr w:rsidR="00644B7D" w:rsidRPr="00335032" w14:paraId="0D3F0D8F" w14:textId="77777777" w:rsidTr="00E7334F">
        <w:tc>
          <w:tcPr>
            <w:tcW w:w="1826" w:type="dxa"/>
          </w:tcPr>
          <w:p w14:paraId="74875E5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Zoning board approval</w:t>
            </w:r>
          </w:p>
        </w:tc>
        <w:tc>
          <w:tcPr>
            <w:tcW w:w="1504" w:type="dxa"/>
          </w:tcPr>
          <w:p w14:paraId="083AD09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0.72</w:t>
            </w:r>
          </w:p>
        </w:tc>
        <w:tc>
          <w:tcPr>
            <w:tcW w:w="1505" w:type="dxa"/>
          </w:tcPr>
          <w:p w14:paraId="53606E3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0.57</w:t>
            </w:r>
          </w:p>
        </w:tc>
        <w:tc>
          <w:tcPr>
            <w:tcW w:w="1505" w:type="dxa"/>
          </w:tcPr>
          <w:p w14:paraId="35722E5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0.73</w:t>
            </w:r>
          </w:p>
        </w:tc>
        <w:tc>
          <w:tcPr>
            <w:tcW w:w="1505" w:type="dxa"/>
          </w:tcPr>
          <w:p w14:paraId="7869B0E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0.52</w:t>
            </w:r>
          </w:p>
        </w:tc>
        <w:tc>
          <w:tcPr>
            <w:tcW w:w="1505" w:type="dxa"/>
          </w:tcPr>
          <w:p w14:paraId="09B559B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0.59</w:t>
            </w:r>
          </w:p>
        </w:tc>
      </w:tr>
      <w:tr w:rsidR="00644B7D" w:rsidRPr="00335032" w14:paraId="1C3C36A0" w14:textId="77777777" w:rsidTr="00E7334F">
        <w:tc>
          <w:tcPr>
            <w:tcW w:w="1826" w:type="dxa"/>
          </w:tcPr>
          <w:p w14:paraId="46F7DF2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County board approval</w:t>
            </w:r>
          </w:p>
        </w:tc>
        <w:tc>
          <w:tcPr>
            <w:tcW w:w="1504" w:type="dxa"/>
          </w:tcPr>
          <w:p w14:paraId="2E38712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0.03</w:t>
            </w:r>
          </w:p>
        </w:tc>
        <w:tc>
          <w:tcPr>
            <w:tcW w:w="1505" w:type="dxa"/>
          </w:tcPr>
          <w:p w14:paraId="4658949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0.08</w:t>
            </w:r>
          </w:p>
        </w:tc>
        <w:tc>
          <w:tcPr>
            <w:tcW w:w="1505" w:type="dxa"/>
          </w:tcPr>
          <w:p w14:paraId="4F48648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0.03</w:t>
            </w:r>
          </w:p>
        </w:tc>
        <w:tc>
          <w:tcPr>
            <w:tcW w:w="1505" w:type="dxa"/>
          </w:tcPr>
          <w:p w14:paraId="27447CE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0979AF0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r>
      <w:tr w:rsidR="00644B7D" w:rsidRPr="00335032" w14:paraId="77CF65D4" w14:textId="77777777" w:rsidTr="00E7334F">
        <w:tc>
          <w:tcPr>
            <w:tcW w:w="1826" w:type="dxa"/>
          </w:tcPr>
          <w:p w14:paraId="4D084981"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County zoning authority approval</w:t>
            </w:r>
          </w:p>
        </w:tc>
        <w:tc>
          <w:tcPr>
            <w:tcW w:w="1504" w:type="dxa"/>
          </w:tcPr>
          <w:p w14:paraId="51F8A83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0.02</w:t>
            </w:r>
          </w:p>
        </w:tc>
        <w:tc>
          <w:tcPr>
            <w:tcW w:w="1505" w:type="dxa"/>
          </w:tcPr>
          <w:p w14:paraId="4B5B05D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0.10</w:t>
            </w:r>
          </w:p>
        </w:tc>
        <w:tc>
          <w:tcPr>
            <w:tcW w:w="1505" w:type="dxa"/>
          </w:tcPr>
          <w:p w14:paraId="7DFC3FE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512D6F1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570BB945"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0.95</w:t>
            </w:r>
          </w:p>
        </w:tc>
      </w:tr>
      <w:tr w:rsidR="00644B7D" w:rsidRPr="00335032" w14:paraId="47BCB77F" w14:textId="77777777" w:rsidTr="00E7334F">
        <w:tc>
          <w:tcPr>
            <w:tcW w:w="1826" w:type="dxa"/>
          </w:tcPr>
          <w:p w14:paraId="6A82671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Environmental review board approval</w:t>
            </w:r>
          </w:p>
        </w:tc>
        <w:tc>
          <w:tcPr>
            <w:tcW w:w="1504" w:type="dxa"/>
          </w:tcPr>
          <w:p w14:paraId="27B96E3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0FC608C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0.09</w:t>
            </w:r>
          </w:p>
        </w:tc>
        <w:tc>
          <w:tcPr>
            <w:tcW w:w="1505" w:type="dxa"/>
          </w:tcPr>
          <w:p w14:paraId="3B4C6BA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7DC9BA1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3EF4931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r>
      <w:tr w:rsidR="00644B7D" w:rsidRPr="00335032" w14:paraId="5E5AED5E" w14:textId="77777777" w:rsidTr="00E7334F">
        <w:tc>
          <w:tcPr>
            <w:tcW w:w="1826" w:type="dxa"/>
          </w:tcPr>
          <w:p w14:paraId="2DD8558F"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Town meeting approval</w:t>
            </w:r>
          </w:p>
        </w:tc>
        <w:tc>
          <w:tcPr>
            <w:tcW w:w="1504" w:type="dxa"/>
          </w:tcPr>
          <w:p w14:paraId="5F57214B"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2CA52BF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0.40</w:t>
            </w:r>
          </w:p>
        </w:tc>
        <w:tc>
          <w:tcPr>
            <w:tcW w:w="1505" w:type="dxa"/>
          </w:tcPr>
          <w:p w14:paraId="5795586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176D834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0.36</w:t>
            </w:r>
          </w:p>
        </w:tc>
        <w:tc>
          <w:tcPr>
            <w:tcW w:w="1505" w:type="dxa"/>
          </w:tcPr>
          <w:p w14:paraId="5F51C0B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0.65</w:t>
            </w:r>
          </w:p>
        </w:tc>
      </w:tr>
    </w:tbl>
    <w:p w14:paraId="61511486" w14:textId="77777777" w:rsidR="00644B7D" w:rsidRPr="00335032" w:rsidRDefault="00644B7D" w:rsidP="00644B7D">
      <w:pPr>
        <w:spacing w:after="0" w:line="240" w:lineRule="auto"/>
        <w:rPr>
          <w:rFonts w:ascii="Times New Roman" w:eastAsia="Calibri" w:hAnsi="Times New Roman" w:cs="Times New Roman"/>
          <w:b/>
          <w:sz w:val="24"/>
          <w:szCs w:val="24"/>
        </w:rPr>
      </w:pPr>
    </w:p>
    <w:p w14:paraId="3824E050" w14:textId="77777777" w:rsidR="001140C0" w:rsidRPr="00335032" w:rsidRDefault="001140C0" w:rsidP="00644B7D">
      <w:pPr>
        <w:spacing w:after="0" w:line="240" w:lineRule="auto"/>
        <w:rPr>
          <w:rFonts w:ascii="Times New Roman" w:eastAsia="Calibri" w:hAnsi="Times New Roman" w:cs="Times New Roman"/>
          <w:b/>
          <w:sz w:val="24"/>
          <w:szCs w:val="24"/>
        </w:rPr>
      </w:pPr>
    </w:p>
    <w:p w14:paraId="0DEEB464" w14:textId="77777777" w:rsidR="001140C0" w:rsidRPr="00335032" w:rsidRDefault="001140C0" w:rsidP="00644B7D">
      <w:pPr>
        <w:spacing w:after="0" w:line="240" w:lineRule="auto"/>
        <w:rPr>
          <w:rFonts w:ascii="Times New Roman" w:eastAsia="Calibri" w:hAnsi="Times New Roman" w:cs="Times New Roman"/>
          <w:b/>
          <w:sz w:val="24"/>
          <w:szCs w:val="24"/>
        </w:rPr>
      </w:pPr>
    </w:p>
    <w:p w14:paraId="08C58907" w14:textId="77777777" w:rsidR="001140C0" w:rsidRPr="00335032" w:rsidRDefault="001140C0" w:rsidP="00644B7D">
      <w:pPr>
        <w:spacing w:after="0" w:line="240" w:lineRule="auto"/>
        <w:rPr>
          <w:rFonts w:ascii="Times New Roman" w:eastAsia="Calibri" w:hAnsi="Times New Roman" w:cs="Times New Roman"/>
          <w:b/>
          <w:sz w:val="24"/>
          <w:szCs w:val="24"/>
        </w:rPr>
      </w:pPr>
    </w:p>
    <w:p w14:paraId="698AA555" w14:textId="77777777" w:rsidR="001140C0" w:rsidRPr="00335032" w:rsidRDefault="001140C0" w:rsidP="00644B7D">
      <w:pPr>
        <w:spacing w:after="0" w:line="240" w:lineRule="auto"/>
        <w:rPr>
          <w:rFonts w:ascii="Times New Roman" w:eastAsia="Calibri" w:hAnsi="Times New Roman" w:cs="Times New Roman"/>
          <w:b/>
          <w:sz w:val="24"/>
          <w:szCs w:val="24"/>
        </w:rPr>
      </w:pPr>
    </w:p>
    <w:p w14:paraId="1669D83D" w14:textId="77777777" w:rsidR="001140C0" w:rsidRPr="00335032" w:rsidRDefault="001140C0" w:rsidP="00644B7D">
      <w:pPr>
        <w:spacing w:after="0" w:line="240" w:lineRule="auto"/>
        <w:rPr>
          <w:rFonts w:ascii="Times New Roman" w:eastAsia="Calibri" w:hAnsi="Times New Roman" w:cs="Times New Roman"/>
          <w:b/>
          <w:sz w:val="24"/>
          <w:szCs w:val="24"/>
        </w:rPr>
      </w:pPr>
    </w:p>
    <w:p w14:paraId="195106B2" w14:textId="77777777" w:rsidR="001140C0" w:rsidRPr="00335032" w:rsidRDefault="001140C0" w:rsidP="00644B7D">
      <w:pPr>
        <w:spacing w:after="0" w:line="240" w:lineRule="auto"/>
        <w:rPr>
          <w:rFonts w:ascii="Times New Roman" w:eastAsia="Calibri" w:hAnsi="Times New Roman" w:cs="Times New Roman"/>
          <w:b/>
          <w:sz w:val="24"/>
          <w:szCs w:val="24"/>
        </w:rPr>
      </w:pPr>
    </w:p>
    <w:p w14:paraId="7D4CC581" w14:textId="77777777" w:rsidR="001140C0" w:rsidRPr="00335032" w:rsidRDefault="001140C0" w:rsidP="00644B7D">
      <w:pPr>
        <w:spacing w:after="0" w:line="240" w:lineRule="auto"/>
        <w:rPr>
          <w:rFonts w:ascii="Times New Roman" w:eastAsia="Calibri" w:hAnsi="Times New Roman" w:cs="Times New Roman"/>
          <w:b/>
          <w:sz w:val="24"/>
          <w:szCs w:val="24"/>
        </w:rPr>
      </w:pPr>
    </w:p>
    <w:p w14:paraId="4BFBADBC" w14:textId="77777777" w:rsidR="001140C0" w:rsidRPr="00335032" w:rsidRDefault="001140C0" w:rsidP="00644B7D">
      <w:pPr>
        <w:spacing w:after="0" w:line="240" w:lineRule="auto"/>
        <w:rPr>
          <w:rFonts w:ascii="Times New Roman" w:eastAsia="Calibri" w:hAnsi="Times New Roman" w:cs="Times New Roman"/>
          <w:b/>
          <w:sz w:val="24"/>
          <w:szCs w:val="24"/>
        </w:rPr>
      </w:pPr>
    </w:p>
    <w:p w14:paraId="185108FD" w14:textId="77777777" w:rsidR="001140C0" w:rsidRPr="00335032" w:rsidRDefault="001140C0" w:rsidP="00644B7D">
      <w:pPr>
        <w:spacing w:after="0" w:line="240" w:lineRule="auto"/>
        <w:rPr>
          <w:rFonts w:ascii="Times New Roman" w:eastAsia="Calibri" w:hAnsi="Times New Roman" w:cs="Times New Roman"/>
          <w:b/>
          <w:sz w:val="24"/>
          <w:szCs w:val="24"/>
        </w:rPr>
      </w:pPr>
    </w:p>
    <w:p w14:paraId="61E99D6C" w14:textId="77777777" w:rsidR="001140C0" w:rsidRPr="00335032" w:rsidRDefault="001140C0" w:rsidP="00644B7D">
      <w:pPr>
        <w:spacing w:after="0" w:line="240" w:lineRule="auto"/>
        <w:rPr>
          <w:rFonts w:ascii="Times New Roman" w:eastAsia="Calibri" w:hAnsi="Times New Roman" w:cs="Times New Roman"/>
          <w:b/>
          <w:sz w:val="24"/>
          <w:szCs w:val="24"/>
        </w:rPr>
      </w:pPr>
    </w:p>
    <w:p w14:paraId="401376E7" w14:textId="77777777" w:rsidR="001140C0" w:rsidRPr="00335032" w:rsidRDefault="001140C0" w:rsidP="00644B7D">
      <w:pPr>
        <w:spacing w:after="0" w:line="240" w:lineRule="auto"/>
        <w:rPr>
          <w:rFonts w:ascii="Times New Roman" w:eastAsia="Calibri" w:hAnsi="Times New Roman" w:cs="Times New Roman"/>
          <w:b/>
          <w:sz w:val="24"/>
          <w:szCs w:val="24"/>
        </w:rPr>
      </w:pPr>
    </w:p>
    <w:p w14:paraId="3E04CA52" w14:textId="77777777" w:rsidR="001140C0" w:rsidRPr="00335032" w:rsidRDefault="001140C0" w:rsidP="00644B7D">
      <w:pPr>
        <w:spacing w:after="0" w:line="240" w:lineRule="auto"/>
        <w:rPr>
          <w:rFonts w:ascii="Times New Roman" w:eastAsia="Calibri" w:hAnsi="Times New Roman" w:cs="Times New Roman"/>
          <w:b/>
          <w:sz w:val="24"/>
          <w:szCs w:val="24"/>
        </w:rPr>
      </w:pPr>
    </w:p>
    <w:p w14:paraId="27AF2F84" w14:textId="45C552C3"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S8. </w:t>
      </w:r>
      <w:r w:rsidRPr="00335032">
        <w:rPr>
          <w:rFonts w:ascii="Times New Roman" w:eastAsia="Calibri" w:hAnsi="Times New Roman" w:cs="Times New Roman"/>
          <w:sz w:val="24"/>
          <w:szCs w:val="24"/>
        </w:rPr>
        <w:t>Sociodemographic characteristics of municipalities and MSAs by Zoning Restrictiveness Index category</w:t>
      </w:r>
    </w:p>
    <w:p w14:paraId="06BEA656"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8953" w:type="dxa"/>
        <w:tblLayout w:type="fixed"/>
        <w:tblLook w:val="04A0" w:firstRow="1" w:lastRow="0" w:firstColumn="1" w:lastColumn="0" w:noHBand="0" w:noVBand="1"/>
      </w:tblPr>
      <w:tblGrid>
        <w:gridCol w:w="1795"/>
        <w:gridCol w:w="1080"/>
        <w:gridCol w:w="1095"/>
        <w:gridCol w:w="1070"/>
        <w:gridCol w:w="1277"/>
        <w:gridCol w:w="1348"/>
        <w:gridCol w:w="1288"/>
      </w:tblGrid>
      <w:tr w:rsidR="00644B7D" w:rsidRPr="00335032" w14:paraId="64613736" w14:textId="77777777" w:rsidTr="00E7334F">
        <w:tc>
          <w:tcPr>
            <w:tcW w:w="1795" w:type="dxa"/>
          </w:tcPr>
          <w:p w14:paraId="5AFFDA6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Measure</w:t>
            </w:r>
          </w:p>
        </w:tc>
        <w:tc>
          <w:tcPr>
            <w:tcW w:w="3245" w:type="dxa"/>
            <w:gridSpan w:val="3"/>
          </w:tcPr>
          <w:p w14:paraId="24698A5D" w14:textId="77777777" w:rsidR="00644B7D" w:rsidRPr="00335032" w:rsidRDefault="00644B7D" w:rsidP="00644B7D">
            <w:pPr>
              <w:jc w:val="center"/>
              <w:rPr>
                <w:rFonts w:ascii="Times New Roman" w:eastAsia="Calibri" w:hAnsi="Times New Roman" w:cs="Times New Roman"/>
                <w:sz w:val="20"/>
                <w:szCs w:val="24"/>
              </w:rPr>
            </w:pPr>
            <w:r w:rsidRPr="00335032">
              <w:rPr>
                <w:rFonts w:ascii="Times New Roman" w:eastAsia="Calibri" w:hAnsi="Times New Roman" w:cs="Times New Roman"/>
                <w:sz w:val="20"/>
                <w:szCs w:val="24"/>
              </w:rPr>
              <w:t>Municipalities by Zoning Restrictiveness Index category</w:t>
            </w:r>
          </w:p>
        </w:tc>
        <w:tc>
          <w:tcPr>
            <w:tcW w:w="3913" w:type="dxa"/>
            <w:gridSpan w:val="3"/>
          </w:tcPr>
          <w:p w14:paraId="7FEDE46D" w14:textId="77777777" w:rsidR="00644B7D" w:rsidRPr="00335032" w:rsidRDefault="00644B7D" w:rsidP="00644B7D">
            <w:pPr>
              <w:jc w:val="center"/>
              <w:rPr>
                <w:rFonts w:ascii="Times New Roman" w:eastAsia="Calibri" w:hAnsi="Times New Roman" w:cs="Times New Roman"/>
                <w:sz w:val="20"/>
                <w:szCs w:val="24"/>
              </w:rPr>
            </w:pPr>
            <w:r w:rsidRPr="00335032">
              <w:rPr>
                <w:rFonts w:ascii="Times New Roman" w:eastAsia="Calibri" w:hAnsi="Times New Roman" w:cs="Times New Roman"/>
                <w:sz w:val="20"/>
                <w:szCs w:val="24"/>
              </w:rPr>
              <w:t xml:space="preserve">MSAs by Zoning Restrictiveness Index  category </w:t>
            </w:r>
          </w:p>
        </w:tc>
      </w:tr>
      <w:tr w:rsidR="00644B7D" w:rsidRPr="00335032" w14:paraId="08F6F68C" w14:textId="77777777" w:rsidTr="00E7334F">
        <w:tc>
          <w:tcPr>
            <w:tcW w:w="1795" w:type="dxa"/>
          </w:tcPr>
          <w:p w14:paraId="008FF826" w14:textId="77777777" w:rsidR="00644B7D" w:rsidRPr="00335032" w:rsidRDefault="00644B7D" w:rsidP="00644B7D">
            <w:pPr>
              <w:rPr>
                <w:rFonts w:ascii="Times New Roman" w:eastAsia="Calibri" w:hAnsi="Times New Roman" w:cs="Times New Roman"/>
                <w:sz w:val="20"/>
                <w:szCs w:val="24"/>
              </w:rPr>
            </w:pPr>
          </w:p>
        </w:tc>
        <w:tc>
          <w:tcPr>
            <w:tcW w:w="1080" w:type="dxa"/>
          </w:tcPr>
          <w:p w14:paraId="2E2F820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Low</w:t>
            </w:r>
          </w:p>
          <w:p w14:paraId="6F9B1CA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w:t>
            </w:r>
            <w:r w:rsidRPr="00335032">
              <w:rPr>
                <w:rFonts w:ascii="Times New Roman" w:eastAsia="Calibri" w:hAnsi="Times New Roman" w:cs="Times New Roman"/>
                <w:sz w:val="20"/>
                <w:szCs w:val="24"/>
                <w:vertAlign w:val="superscript"/>
              </w:rPr>
              <w:t>st</w:t>
            </w:r>
            <w:r w:rsidRPr="00335032">
              <w:rPr>
                <w:rFonts w:ascii="Times New Roman" w:eastAsia="Calibri" w:hAnsi="Times New Roman" w:cs="Times New Roman"/>
                <w:sz w:val="20"/>
                <w:szCs w:val="24"/>
              </w:rPr>
              <w:t xml:space="preserve"> quartile)</w:t>
            </w:r>
          </w:p>
        </w:tc>
        <w:tc>
          <w:tcPr>
            <w:tcW w:w="1095" w:type="dxa"/>
          </w:tcPr>
          <w:p w14:paraId="2CA82D0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Medium</w:t>
            </w:r>
          </w:p>
          <w:p w14:paraId="4AD3E6F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(Interquartile range)</w:t>
            </w:r>
          </w:p>
        </w:tc>
        <w:tc>
          <w:tcPr>
            <w:tcW w:w="1070" w:type="dxa"/>
          </w:tcPr>
          <w:p w14:paraId="3E507CE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High</w:t>
            </w:r>
          </w:p>
          <w:p w14:paraId="30D393D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w:t>
            </w:r>
            <w:r w:rsidRPr="00335032">
              <w:rPr>
                <w:rFonts w:ascii="Times New Roman" w:eastAsia="Calibri" w:hAnsi="Times New Roman" w:cs="Times New Roman"/>
                <w:sz w:val="20"/>
                <w:szCs w:val="24"/>
                <w:vertAlign w:val="superscript"/>
              </w:rPr>
              <w:t>th</w:t>
            </w:r>
            <w:r w:rsidRPr="00335032">
              <w:rPr>
                <w:rFonts w:ascii="Times New Roman" w:eastAsia="Calibri" w:hAnsi="Times New Roman" w:cs="Times New Roman"/>
                <w:sz w:val="20"/>
                <w:szCs w:val="24"/>
              </w:rPr>
              <w:t xml:space="preserve"> quartile)</w:t>
            </w:r>
          </w:p>
        </w:tc>
        <w:tc>
          <w:tcPr>
            <w:tcW w:w="1277" w:type="dxa"/>
          </w:tcPr>
          <w:p w14:paraId="3FDB594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Low</w:t>
            </w:r>
          </w:p>
          <w:p w14:paraId="5CFBC44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w:t>
            </w:r>
            <w:r w:rsidRPr="00335032">
              <w:rPr>
                <w:rFonts w:ascii="Times New Roman" w:eastAsia="Calibri" w:hAnsi="Times New Roman" w:cs="Times New Roman"/>
                <w:sz w:val="20"/>
                <w:szCs w:val="24"/>
                <w:vertAlign w:val="superscript"/>
              </w:rPr>
              <w:t>st</w:t>
            </w:r>
            <w:r w:rsidRPr="00335032">
              <w:rPr>
                <w:rFonts w:ascii="Times New Roman" w:eastAsia="Calibri" w:hAnsi="Times New Roman" w:cs="Times New Roman"/>
                <w:sz w:val="20"/>
                <w:szCs w:val="24"/>
              </w:rPr>
              <w:t xml:space="preserve"> quartile)</w:t>
            </w:r>
          </w:p>
        </w:tc>
        <w:tc>
          <w:tcPr>
            <w:tcW w:w="1348" w:type="dxa"/>
          </w:tcPr>
          <w:p w14:paraId="41A6352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Medium</w:t>
            </w:r>
          </w:p>
          <w:p w14:paraId="2051228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(Interquartile range)</w:t>
            </w:r>
          </w:p>
        </w:tc>
        <w:tc>
          <w:tcPr>
            <w:tcW w:w="1288" w:type="dxa"/>
          </w:tcPr>
          <w:p w14:paraId="63A78D2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High</w:t>
            </w:r>
          </w:p>
          <w:p w14:paraId="2DE0179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w:t>
            </w:r>
            <w:r w:rsidRPr="00335032">
              <w:rPr>
                <w:rFonts w:ascii="Times New Roman" w:eastAsia="Calibri" w:hAnsi="Times New Roman" w:cs="Times New Roman"/>
                <w:sz w:val="20"/>
                <w:szCs w:val="24"/>
                <w:vertAlign w:val="superscript"/>
              </w:rPr>
              <w:t>th</w:t>
            </w:r>
            <w:r w:rsidRPr="00335032">
              <w:rPr>
                <w:rFonts w:ascii="Times New Roman" w:eastAsia="Calibri" w:hAnsi="Times New Roman" w:cs="Times New Roman"/>
                <w:sz w:val="20"/>
                <w:szCs w:val="24"/>
              </w:rPr>
              <w:t xml:space="preserve"> quartile)</w:t>
            </w:r>
          </w:p>
        </w:tc>
      </w:tr>
      <w:tr w:rsidR="00644B7D" w:rsidRPr="00335032" w14:paraId="34BEC800" w14:textId="77777777" w:rsidTr="00E7334F">
        <w:tc>
          <w:tcPr>
            <w:tcW w:w="1795" w:type="dxa"/>
          </w:tcPr>
          <w:p w14:paraId="055D0CC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Total population</w:t>
            </w:r>
          </w:p>
        </w:tc>
        <w:tc>
          <w:tcPr>
            <w:tcW w:w="1080" w:type="dxa"/>
          </w:tcPr>
          <w:p w14:paraId="5DC0502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19,267</w:t>
            </w:r>
          </w:p>
        </w:tc>
        <w:tc>
          <w:tcPr>
            <w:tcW w:w="1095" w:type="dxa"/>
          </w:tcPr>
          <w:p w14:paraId="35CF35B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42,200</w:t>
            </w:r>
          </w:p>
        </w:tc>
        <w:tc>
          <w:tcPr>
            <w:tcW w:w="1070" w:type="dxa"/>
          </w:tcPr>
          <w:p w14:paraId="694D8A7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79.816</w:t>
            </w:r>
          </w:p>
        </w:tc>
        <w:tc>
          <w:tcPr>
            <w:tcW w:w="1277" w:type="dxa"/>
          </w:tcPr>
          <w:p w14:paraId="5EC7071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496,393</w:t>
            </w:r>
          </w:p>
        </w:tc>
        <w:tc>
          <w:tcPr>
            <w:tcW w:w="1348" w:type="dxa"/>
          </w:tcPr>
          <w:p w14:paraId="14691A1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1,031,923</w:t>
            </w:r>
          </w:p>
        </w:tc>
        <w:tc>
          <w:tcPr>
            <w:tcW w:w="1288" w:type="dxa"/>
          </w:tcPr>
          <w:p w14:paraId="1F199D9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2,684,687</w:t>
            </w:r>
          </w:p>
        </w:tc>
      </w:tr>
      <w:tr w:rsidR="00644B7D" w:rsidRPr="00335032" w14:paraId="23782BD0" w14:textId="77777777" w:rsidTr="00E7334F">
        <w:tc>
          <w:tcPr>
            <w:tcW w:w="1795" w:type="dxa"/>
          </w:tcPr>
          <w:p w14:paraId="160B794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Population density</w:t>
            </w:r>
          </w:p>
        </w:tc>
        <w:tc>
          <w:tcPr>
            <w:tcW w:w="1080" w:type="dxa"/>
          </w:tcPr>
          <w:p w14:paraId="5139358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2,087</w:t>
            </w:r>
          </w:p>
        </w:tc>
        <w:tc>
          <w:tcPr>
            <w:tcW w:w="1095" w:type="dxa"/>
          </w:tcPr>
          <w:p w14:paraId="1AC7122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2,420</w:t>
            </w:r>
          </w:p>
        </w:tc>
        <w:tc>
          <w:tcPr>
            <w:tcW w:w="1070" w:type="dxa"/>
          </w:tcPr>
          <w:p w14:paraId="621005A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2,746</w:t>
            </w:r>
          </w:p>
        </w:tc>
        <w:tc>
          <w:tcPr>
            <w:tcW w:w="1277" w:type="dxa"/>
          </w:tcPr>
          <w:p w14:paraId="1BB6E82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218</w:t>
            </w:r>
          </w:p>
        </w:tc>
        <w:tc>
          <w:tcPr>
            <w:tcW w:w="1348" w:type="dxa"/>
          </w:tcPr>
          <w:p w14:paraId="52F541B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307</w:t>
            </w:r>
          </w:p>
        </w:tc>
        <w:tc>
          <w:tcPr>
            <w:tcW w:w="1288" w:type="dxa"/>
          </w:tcPr>
          <w:p w14:paraId="25E6D4A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811</w:t>
            </w:r>
          </w:p>
        </w:tc>
      </w:tr>
      <w:tr w:rsidR="00644B7D" w:rsidRPr="00335032" w14:paraId="56917689" w14:textId="77777777" w:rsidTr="00E7334F">
        <w:tc>
          <w:tcPr>
            <w:tcW w:w="1795" w:type="dxa"/>
          </w:tcPr>
          <w:p w14:paraId="54357FB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Land area (square miles)</w:t>
            </w:r>
          </w:p>
        </w:tc>
        <w:tc>
          <w:tcPr>
            <w:tcW w:w="1080" w:type="dxa"/>
          </w:tcPr>
          <w:p w14:paraId="2370547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17.42</w:t>
            </w:r>
          </w:p>
        </w:tc>
        <w:tc>
          <w:tcPr>
            <w:tcW w:w="1095" w:type="dxa"/>
          </w:tcPr>
          <w:p w14:paraId="2764FE5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17.83</w:t>
            </w:r>
          </w:p>
        </w:tc>
        <w:tc>
          <w:tcPr>
            <w:tcW w:w="1070" w:type="dxa"/>
          </w:tcPr>
          <w:p w14:paraId="687D664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36.95</w:t>
            </w:r>
          </w:p>
        </w:tc>
        <w:tc>
          <w:tcPr>
            <w:tcW w:w="1277" w:type="dxa"/>
          </w:tcPr>
          <w:p w14:paraId="2DC8BCFB"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3,214.10</w:t>
            </w:r>
          </w:p>
        </w:tc>
        <w:tc>
          <w:tcPr>
            <w:tcW w:w="1348" w:type="dxa"/>
          </w:tcPr>
          <w:p w14:paraId="0906BC3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3,214.03</w:t>
            </w:r>
          </w:p>
        </w:tc>
        <w:tc>
          <w:tcPr>
            <w:tcW w:w="1288" w:type="dxa"/>
          </w:tcPr>
          <w:p w14:paraId="626EFA9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3327.49</w:t>
            </w:r>
          </w:p>
        </w:tc>
      </w:tr>
      <w:tr w:rsidR="00644B7D" w:rsidRPr="00335032" w14:paraId="21D756BE" w14:textId="77777777" w:rsidTr="00E7334F">
        <w:tc>
          <w:tcPr>
            <w:tcW w:w="1795" w:type="dxa"/>
          </w:tcPr>
          <w:p w14:paraId="257D384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Ethnoracial diversity (entropy)</w:t>
            </w:r>
          </w:p>
        </w:tc>
        <w:tc>
          <w:tcPr>
            <w:tcW w:w="1080" w:type="dxa"/>
          </w:tcPr>
          <w:p w14:paraId="4FE4620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0.64</w:t>
            </w:r>
          </w:p>
        </w:tc>
        <w:tc>
          <w:tcPr>
            <w:tcW w:w="1095" w:type="dxa"/>
          </w:tcPr>
          <w:p w14:paraId="0791211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0.74</w:t>
            </w:r>
          </w:p>
        </w:tc>
        <w:tc>
          <w:tcPr>
            <w:tcW w:w="1070" w:type="dxa"/>
          </w:tcPr>
          <w:p w14:paraId="65AEA5C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0.83</w:t>
            </w:r>
          </w:p>
        </w:tc>
        <w:tc>
          <w:tcPr>
            <w:tcW w:w="1277" w:type="dxa"/>
          </w:tcPr>
          <w:p w14:paraId="781A8EE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0.84</w:t>
            </w:r>
          </w:p>
        </w:tc>
        <w:tc>
          <w:tcPr>
            <w:tcW w:w="1348" w:type="dxa"/>
          </w:tcPr>
          <w:p w14:paraId="2DE8CB9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0.87</w:t>
            </w:r>
          </w:p>
        </w:tc>
        <w:tc>
          <w:tcPr>
            <w:tcW w:w="1288" w:type="dxa"/>
          </w:tcPr>
          <w:p w14:paraId="56D76F5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1.00</w:t>
            </w:r>
          </w:p>
        </w:tc>
      </w:tr>
      <w:tr w:rsidR="00644B7D" w:rsidRPr="00335032" w14:paraId="0C5D14FD" w14:textId="77777777" w:rsidTr="00E7334F">
        <w:tc>
          <w:tcPr>
            <w:tcW w:w="1795" w:type="dxa"/>
          </w:tcPr>
          <w:p w14:paraId="5D276D5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Ethnoracial segregation (D)</w:t>
            </w:r>
          </w:p>
        </w:tc>
        <w:tc>
          <w:tcPr>
            <w:tcW w:w="1080" w:type="dxa"/>
          </w:tcPr>
          <w:p w14:paraId="4C9ABD4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95" w:type="dxa"/>
          </w:tcPr>
          <w:p w14:paraId="675B633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70" w:type="dxa"/>
          </w:tcPr>
          <w:p w14:paraId="37FA37C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277" w:type="dxa"/>
          </w:tcPr>
          <w:p w14:paraId="153BB93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0.13</w:t>
            </w:r>
          </w:p>
        </w:tc>
        <w:tc>
          <w:tcPr>
            <w:tcW w:w="1348" w:type="dxa"/>
          </w:tcPr>
          <w:p w14:paraId="2F3D7BF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0.15</w:t>
            </w:r>
          </w:p>
        </w:tc>
        <w:tc>
          <w:tcPr>
            <w:tcW w:w="1288" w:type="dxa"/>
          </w:tcPr>
          <w:p w14:paraId="64C8F49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0.21</w:t>
            </w:r>
          </w:p>
        </w:tc>
      </w:tr>
      <w:tr w:rsidR="00644B7D" w:rsidRPr="00335032" w14:paraId="788CD3D4" w14:textId="77777777" w:rsidTr="00E7334F">
        <w:tc>
          <w:tcPr>
            <w:tcW w:w="1795" w:type="dxa"/>
          </w:tcPr>
          <w:p w14:paraId="69FADB3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Socioeconomic segregation (rank-order H)</w:t>
            </w:r>
          </w:p>
        </w:tc>
        <w:tc>
          <w:tcPr>
            <w:tcW w:w="1080" w:type="dxa"/>
          </w:tcPr>
          <w:p w14:paraId="57B9AF3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95" w:type="dxa"/>
          </w:tcPr>
          <w:p w14:paraId="0984AF9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70" w:type="dxa"/>
          </w:tcPr>
          <w:p w14:paraId="425049E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277" w:type="dxa"/>
          </w:tcPr>
          <w:p w14:paraId="1D30294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0.07</w:t>
            </w:r>
          </w:p>
        </w:tc>
        <w:tc>
          <w:tcPr>
            <w:tcW w:w="1348" w:type="dxa"/>
          </w:tcPr>
          <w:p w14:paraId="5BABE35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0.08</w:t>
            </w:r>
          </w:p>
        </w:tc>
        <w:tc>
          <w:tcPr>
            <w:tcW w:w="1288" w:type="dxa"/>
          </w:tcPr>
          <w:p w14:paraId="6C3CEE3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0.09</w:t>
            </w:r>
          </w:p>
        </w:tc>
      </w:tr>
      <w:tr w:rsidR="00644B7D" w:rsidRPr="00335032" w14:paraId="5D93E9D9" w14:textId="77777777" w:rsidTr="00E7334F">
        <w:tc>
          <w:tcPr>
            <w:tcW w:w="1795" w:type="dxa"/>
          </w:tcPr>
          <w:p w14:paraId="4DA7706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Median household income</w:t>
            </w:r>
          </w:p>
        </w:tc>
        <w:tc>
          <w:tcPr>
            <w:tcW w:w="1080" w:type="dxa"/>
          </w:tcPr>
          <w:p w14:paraId="2B906AD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$59,799</w:t>
            </w:r>
          </w:p>
        </w:tc>
        <w:tc>
          <w:tcPr>
            <w:tcW w:w="1095" w:type="dxa"/>
          </w:tcPr>
          <w:p w14:paraId="5E5FE69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$68,685</w:t>
            </w:r>
          </w:p>
        </w:tc>
        <w:tc>
          <w:tcPr>
            <w:tcW w:w="1070" w:type="dxa"/>
          </w:tcPr>
          <w:p w14:paraId="201E0DF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$78,431</w:t>
            </w:r>
          </w:p>
        </w:tc>
        <w:tc>
          <w:tcPr>
            <w:tcW w:w="1277" w:type="dxa"/>
          </w:tcPr>
          <w:p w14:paraId="3C099D4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$56,019</w:t>
            </w:r>
          </w:p>
        </w:tc>
        <w:tc>
          <w:tcPr>
            <w:tcW w:w="1348" w:type="dxa"/>
          </w:tcPr>
          <w:p w14:paraId="57E3BEF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$60,273</w:t>
            </w:r>
          </w:p>
        </w:tc>
        <w:tc>
          <w:tcPr>
            <w:tcW w:w="1288" w:type="dxa"/>
          </w:tcPr>
          <w:p w14:paraId="5722654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$69,782</w:t>
            </w:r>
          </w:p>
        </w:tc>
      </w:tr>
      <w:tr w:rsidR="00644B7D" w:rsidRPr="00335032" w14:paraId="46C6BDE6" w14:textId="77777777" w:rsidTr="00E7334F">
        <w:tc>
          <w:tcPr>
            <w:tcW w:w="1795" w:type="dxa"/>
          </w:tcPr>
          <w:p w14:paraId="0E7F053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Median property value</w:t>
            </w:r>
          </w:p>
        </w:tc>
        <w:tc>
          <w:tcPr>
            <w:tcW w:w="1080" w:type="dxa"/>
          </w:tcPr>
          <w:p w14:paraId="39F90C7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$188,573</w:t>
            </w:r>
          </w:p>
        </w:tc>
        <w:tc>
          <w:tcPr>
            <w:tcW w:w="1095" w:type="dxa"/>
          </w:tcPr>
          <w:p w14:paraId="225F1AA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$251,521</w:t>
            </w:r>
          </w:p>
        </w:tc>
        <w:tc>
          <w:tcPr>
            <w:tcW w:w="1070" w:type="dxa"/>
          </w:tcPr>
          <w:p w14:paraId="358D423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$335,320</w:t>
            </w:r>
          </w:p>
        </w:tc>
        <w:tc>
          <w:tcPr>
            <w:tcW w:w="1277" w:type="dxa"/>
          </w:tcPr>
          <w:p w14:paraId="07322CD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$173,276</w:t>
            </w:r>
          </w:p>
        </w:tc>
        <w:tc>
          <w:tcPr>
            <w:tcW w:w="1348" w:type="dxa"/>
          </w:tcPr>
          <w:p w14:paraId="2AF0284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$203,970</w:t>
            </w:r>
          </w:p>
        </w:tc>
        <w:tc>
          <w:tcPr>
            <w:tcW w:w="1288" w:type="dxa"/>
          </w:tcPr>
          <w:p w14:paraId="5A45E74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$303,795</w:t>
            </w:r>
          </w:p>
        </w:tc>
      </w:tr>
      <w:tr w:rsidR="00644B7D" w:rsidRPr="00335032" w14:paraId="2462C83D" w14:textId="77777777" w:rsidTr="00E7334F">
        <w:tc>
          <w:tcPr>
            <w:tcW w:w="1795" w:type="dxa"/>
          </w:tcPr>
          <w:p w14:paraId="51700D5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Share of population with four-year college degree (or more)</w:t>
            </w:r>
          </w:p>
        </w:tc>
        <w:tc>
          <w:tcPr>
            <w:tcW w:w="1080" w:type="dxa"/>
          </w:tcPr>
          <w:p w14:paraId="52BD05A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0.26</w:t>
            </w:r>
          </w:p>
        </w:tc>
        <w:tc>
          <w:tcPr>
            <w:tcW w:w="1095" w:type="dxa"/>
          </w:tcPr>
          <w:p w14:paraId="388E5D8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0.33</w:t>
            </w:r>
          </w:p>
        </w:tc>
        <w:tc>
          <w:tcPr>
            <w:tcW w:w="1070" w:type="dxa"/>
          </w:tcPr>
          <w:p w14:paraId="48A64AD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0.39</w:t>
            </w:r>
          </w:p>
        </w:tc>
        <w:tc>
          <w:tcPr>
            <w:tcW w:w="1277" w:type="dxa"/>
          </w:tcPr>
          <w:p w14:paraId="2E93368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0.28</w:t>
            </w:r>
          </w:p>
        </w:tc>
        <w:tc>
          <w:tcPr>
            <w:tcW w:w="1348" w:type="dxa"/>
          </w:tcPr>
          <w:p w14:paraId="609F0FD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0.30</w:t>
            </w:r>
          </w:p>
        </w:tc>
        <w:tc>
          <w:tcPr>
            <w:tcW w:w="1288" w:type="dxa"/>
          </w:tcPr>
          <w:p w14:paraId="512F733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0.34</w:t>
            </w:r>
          </w:p>
        </w:tc>
      </w:tr>
      <w:tr w:rsidR="00644B7D" w:rsidRPr="00335032" w14:paraId="6290C1AA" w14:textId="77777777" w:rsidTr="00E7334F">
        <w:tc>
          <w:tcPr>
            <w:tcW w:w="1795" w:type="dxa"/>
          </w:tcPr>
          <w:p w14:paraId="7CA890CB"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Household poverty rate</w:t>
            </w:r>
          </w:p>
        </w:tc>
        <w:tc>
          <w:tcPr>
            <w:tcW w:w="1080" w:type="dxa"/>
          </w:tcPr>
          <w:p w14:paraId="69C7A44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0.15</w:t>
            </w:r>
          </w:p>
        </w:tc>
        <w:tc>
          <w:tcPr>
            <w:tcW w:w="1095" w:type="dxa"/>
          </w:tcPr>
          <w:p w14:paraId="2AF5D3E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0.12</w:t>
            </w:r>
          </w:p>
        </w:tc>
        <w:tc>
          <w:tcPr>
            <w:tcW w:w="1070" w:type="dxa"/>
          </w:tcPr>
          <w:p w14:paraId="33CEB01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0.11</w:t>
            </w:r>
          </w:p>
        </w:tc>
        <w:tc>
          <w:tcPr>
            <w:tcW w:w="1277" w:type="dxa"/>
          </w:tcPr>
          <w:p w14:paraId="1B46292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0.14</w:t>
            </w:r>
          </w:p>
        </w:tc>
        <w:tc>
          <w:tcPr>
            <w:tcW w:w="1348" w:type="dxa"/>
          </w:tcPr>
          <w:p w14:paraId="6DA5FCA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0.13</w:t>
            </w:r>
          </w:p>
        </w:tc>
        <w:tc>
          <w:tcPr>
            <w:tcW w:w="1288" w:type="dxa"/>
          </w:tcPr>
          <w:p w14:paraId="13DBA9E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0.12</w:t>
            </w:r>
          </w:p>
          <w:p w14:paraId="6D11E526" w14:textId="77777777" w:rsidR="00644B7D" w:rsidRPr="00335032" w:rsidRDefault="00644B7D" w:rsidP="00644B7D">
            <w:pPr>
              <w:rPr>
                <w:rFonts w:ascii="Times New Roman" w:eastAsia="Calibri" w:hAnsi="Times New Roman" w:cs="Times New Roman"/>
                <w:sz w:val="20"/>
                <w:szCs w:val="24"/>
              </w:rPr>
            </w:pPr>
          </w:p>
        </w:tc>
      </w:tr>
    </w:tbl>
    <w:p w14:paraId="66626F19" w14:textId="77777777" w:rsidR="00644B7D" w:rsidRPr="00335032" w:rsidRDefault="00644B7D" w:rsidP="00644B7D">
      <w:pPr>
        <w:spacing w:after="0" w:line="240" w:lineRule="auto"/>
        <w:jc w:val="both"/>
        <w:rPr>
          <w:rFonts w:ascii="Times New Roman" w:eastAsia="Calibri" w:hAnsi="Times New Roman" w:cs="Times New Roman"/>
          <w:sz w:val="18"/>
          <w:szCs w:val="18"/>
        </w:rPr>
      </w:pPr>
    </w:p>
    <w:p w14:paraId="694CF1D7" w14:textId="77777777" w:rsidR="00644B7D" w:rsidRPr="00335032" w:rsidRDefault="00644B7D" w:rsidP="00644B7D">
      <w:pPr>
        <w:spacing w:after="0" w:line="240" w:lineRule="auto"/>
        <w:jc w:val="both"/>
        <w:rPr>
          <w:rFonts w:ascii="Times New Roman" w:eastAsia="Calibri" w:hAnsi="Times New Roman" w:cs="Times New Roman"/>
          <w:sz w:val="18"/>
          <w:szCs w:val="18"/>
        </w:rPr>
      </w:pPr>
      <w:r w:rsidRPr="00335032">
        <w:rPr>
          <w:rFonts w:ascii="Times New Roman" w:eastAsia="Calibri" w:hAnsi="Times New Roman" w:cs="Times New Roman"/>
          <w:sz w:val="18"/>
          <w:szCs w:val="18"/>
        </w:rPr>
        <w:t xml:space="preserve">Notes: </w:t>
      </w:r>
    </w:p>
    <w:p w14:paraId="47E6A430"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Calibri" w:hAnsi="Times New Roman" w:cs="Times New Roman"/>
          <w:sz w:val="18"/>
          <w:szCs w:val="18"/>
        </w:rPr>
        <w:t xml:space="preserve">a. The entropy index measures diversity (higher scores indicate more diversity) and is defined as </w:t>
      </w:r>
      <m:oMath>
        <m:r>
          <w:rPr>
            <w:rFonts w:ascii="Cambria Math" w:eastAsia="Calibri" w:hAnsi="Cambria Math" w:cs="Times New Roman"/>
            <w:sz w:val="18"/>
            <w:szCs w:val="18"/>
          </w:rPr>
          <m:t xml:space="preserve">E= </m:t>
        </m:r>
        <m:nary>
          <m:naryPr>
            <m:chr m:val="∑"/>
            <m:limLoc m:val="undOvr"/>
            <m:ctrlPr>
              <w:rPr>
                <w:rFonts w:ascii="Cambria Math" w:eastAsia="Calibri" w:hAnsi="Cambria Math" w:cs="Times New Roman"/>
                <w:i/>
                <w:sz w:val="18"/>
                <w:szCs w:val="18"/>
              </w:rPr>
            </m:ctrlPr>
          </m:naryPr>
          <m:sub>
            <m:r>
              <w:rPr>
                <w:rFonts w:ascii="Cambria Math" w:eastAsia="Calibri" w:hAnsi="Cambria Math" w:cs="Times New Roman"/>
                <w:sz w:val="18"/>
                <w:szCs w:val="18"/>
              </w:rPr>
              <m:t>k=1</m:t>
            </m:r>
          </m:sub>
          <m:sup>
            <m:r>
              <w:rPr>
                <w:rFonts w:ascii="Cambria Math" w:eastAsia="Calibri" w:hAnsi="Cambria Math" w:cs="Times New Roman"/>
                <w:sz w:val="18"/>
                <w:szCs w:val="18"/>
              </w:rPr>
              <m:t>K</m:t>
            </m:r>
          </m:sup>
          <m:e>
            <m:f>
              <m:fPr>
                <m:ctrlPr>
                  <w:rPr>
                    <w:rFonts w:ascii="Cambria Math" w:eastAsia="Calibri" w:hAnsi="Cambria Math" w:cs="Times New Roman"/>
                    <w:i/>
                    <w:sz w:val="18"/>
                    <w:szCs w:val="18"/>
                  </w:rPr>
                </m:ctrlPr>
              </m:fPr>
              <m:num>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k</m:t>
                    </m:r>
                  </m:e>
                  <m:sub>
                    <m:r>
                      <w:rPr>
                        <w:rFonts w:ascii="Cambria Math" w:eastAsia="Calibri" w:hAnsi="Cambria Math" w:cs="Times New Roman"/>
                        <w:sz w:val="18"/>
                        <w:szCs w:val="18"/>
                      </w:rPr>
                      <m:t>j</m:t>
                    </m:r>
                  </m:sub>
                </m:sSub>
              </m:num>
              <m:den>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t</m:t>
                    </m:r>
                  </m:e>
                  <m:sub>
                    <m:r>
                      <w:rPr>
                        <w:rFonts w:ascii="Cambria Math" w:eastAsia="Calibri" w:hAnsi="Cambria Math" w:cs="Times New Roman"/>
                        <w:sz w:val="18"/>
                        <w:szCs w:val="18"/>
                      </w:rPr>
                      <m:t>j</m:t>
                    </m:r>
                  </m:sub>
                </m:sSub>
              </m:den>
            </m:f>
            <m:r>
              <w:rPr>
                <w:rFonts w:ascii="Cambria Math" w:eastAsia="Calibri" w:hAnsi="Cambria Math" w:cs="Times New Roman"/>
                <w:sz w:val="18"/>
                <w:szCs w:val="18"/>
              </w:rPr>
              <m:t>⋅</m:t>
            </m:r>
            <m:r>
              <m:rPr>
                <m:sty m:val="p"/>
              </m:rPr>
              <w:rPr>
                <w:rFonts w:ascii="Cambria Math" w:eastAsia="Calibri" w:hAnsi="Cambria Math" w:cs="Times New Roman"/>
                <w:sz w:val="18"/>
                <w:szCs w:val="18"/>
              </w:rPr>
              <m:t>ln⁡</m:t>
            </m:r>
            <m:r>
              <w:rPr>
                <w:rFonts w:ascii="Cambria Math" w:eastAsia="Calibri" w:hAnsi="Cambria Math" w:cs="Times New Roman"/>
                <w:sz w:val="18"/>
                <w:szCs w:val="18"/>
              </w:rPr>
              <m:t>(</m:t>
            </m:r>
            <m:f>
              <m:fPr>
                <m:ctrlPr>
                  <w:rPr>
                    <w:rFonts w:ascii="Cambria Math" w:eastAsia="Calibri" w:hAnsi="Cambria Math" w:cs="Times New Roman"/>
                    <w:i/>
                    <w:sz w:val="18"/>
                    <w:szCs w:val="18"/>
                  </w:rPr>
                </m:ctrlPr>
              </m:fPr>
              <m:num>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t</m:t>
                    </m:r>
                  </m:e>
                  <m:sub>
                    <m:r>
                      <w:rPr>
                        <w:rFonts w:ascii="Cambria Math" w:eastAsia="Calibri" w:hAnsi="Cambria Math" w:cs="Times New Roman"/>
                        <w:sz w:val="18"/>
                        <w:szCs w:val="18"/>
                      </w:rPr>
                      <m:t>j</m:t>
                    </m:r>
                  </m:sub>
                </m:sSub>
              </m:num>
              <m:den>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k</m:t>
                    </m:r>
                  </m:e>
                  <m:sub>
                    <m:r>
                      <w:rPr>
                        <w:rFonts w:ascii="Cambria Math" w:eastAsia="Calibri" w:hAnsi="Cambria Math" w:cs="Times New Roman"/>
                        <w:sz w:val="18"/>
                        <w:szCs w:val="18"/>
                      </w:rPr>
                      <m:t>j</m:t>
                    </m:r>
                  </m:sub>
                </m:sSub>
              </m:den>
            </m:f>
            <m:r>
              <w:rPr>
                <w:rFonts w:ascii="Cambria Math" w:eastAsia="Calibri" w:hAnsi="Cambria Math" w:cs="Times New Roman"/>
                <w:sz w:val="18"/>
                <w:szCs w:val="18"/>
              </w:rPr>
              <m:t>)</m:t>
            </m:r>
          </m:e>
        </m:nary>
      </m:oMath>
      <w:r w:rsidRPr="00335032">
        <w:rPr>
          <w:rFonts w:ascii="Times New Roman" w:eastAsia="Times New Roman" w:hAnsi="Times New Roman" w:cs="Times New Roman"/>
          <w:sz w:val="18"/>
          <w:szCs w:val="18"/>
        </w:rPr>
        <w:t xml:space="preserve"> where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indexes the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ethnoracial groups,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j</m:t>
            </m:r>
          </m:sub>
        </m:sSub>
      </m:oMath>
      <w:r w:rsidRPr="00335032">
        <w:rPr>
          <w:rFonts w:ascii="Times New Roman" w:eastAsia="Times New Roman" w:hAnsi="Times New Roman" w:cs="Times New Roman"/>
          <w:sz w:val="18"/>
          <w:szCs w:val="18"/>
        </w:rPr>
        <w:t xml:space="preserve"> is the population of group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in tract </w:t>
      </w:r>
      <m:oMath>
        <m:r>
          <w:rPr>
            <w:rFonts w:ascii="Cambria Math" w:eastAsia="Times New Roman" w:hAnsi="Cambria Math" w:cs="Times New Roman"/>
            <w:sz w:val="18"/>
            <w:szCs w:val="18"/>
          </w:rPr>
          <m:t>j</m:t>
        </m:r>
      </m:oMath>
      <w:r w:rsidRPr="00335032">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j</m:t>
            </m:r>
          </m:sub>
        </m:sSub>
      </m:oMath>
      <w:r w:rsidRPr="00335032">
        <w:rPr>
          <w:rFonts w:ascii="Times New Roman" w:eastAsia="Times New Roman" w:hAnsi="Times New Roman" w:cs="Times New Roman"/>
          <w:sz w:val="18"/>
          <w:szCs w:val="18"/>
        </w:rPr>
        <w:t xml:space="preserve"> is the total population of tract </w:t>
      </w:r>
      <m:oMath>
        <m:r>
          <w:rPr>
            <w:rFonts w:ascii="Cambria Math" w:eastAsia="Times New Roman" w:hAnsi="Cambria Math" w:cs="Times New Roman"/>
            <w:sz w:val="18"/>
            <w:szCs w:val="18"/>
          </w:rPr>
          <m:t>j</m:t>
        </m:r>
      </m:oMath>
      <w:r w:rsidRPr="00335032">
        <w:rPr>
          <w:rFonts w:ascii="Times New Roman" w:eastAsia="Times New Roman" w:hAnsi="Times New Roman" w:cs="Times New Roman"/>
          <w:sz w:val="18"/>
          <w:szCs w:val="18"/>
        </w:rPr>
        <w:t xml:space="preserve"> (Holloway, Wright and Ellis, 2012). We use six ethnoracial groups in our calculations (AIAN, Asian, Black, Latinx, white and Other).</w:t>
      </w:r>
    </w:p>
    <w:p w14:paraId="7635B288"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 xml:space="preserve">b. The divergence index (D) measures ethnoracial segregation (higher values indicate more segregation) and is defined as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D</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 xml:space="preserve">= </m:t>
        </m:r>
        <m:nary>
          <m:naryPr>
            <m:chr m:val="∑"/>
            <m:limLoc m:val="undOvr"/>
            <m:ctrlPr>
              <w:rPr>
                <w:rFonts w:ascii="Cambria Math" w:eastAsia="Times New Roman" w:hAnsi="Cambria Math" w:cs="Times New Roman"/>
                <w:i/>
                <w:sz w:val="18"/>
                <w:szCs w:val="18"/>
              </w:rPr>
            </m:ctrlPr>
          </m:naryPr>
          <m:sub>
            <m:r>
              <w:rPr>
                <w:rFonts w:ascii="Cambria Math" w:eastAsia="Times New Roman" w:hAnsi="Cambria Math" w:cs="Times New Roman"/>
                <w:sz w:val="18"/>
                <w:szCs w:val="18"/>
              </w:rPr>
              <m:t>m=1</m:t>
            </m:r>
          </m:sub>
          <m:sup>
            <m:r>
              <w:rPr>
                <w:rFonts w:ascii="Cambria Math" w:eastAsia="Times New Roman" w:hAnsi="Cambria Math" w:cs="Times New Roman"/>
                <w:sz w:val="18"/>
                <w:szCs w:val="18"/>
              </w:rPr>
              <m:t>M</m:t>
            </m:r>
          </m:sup>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r>
              <w:rPr>
                <w:rFonts w:ascii="Cambria Math" w:eastAsia="Times New Roman" w:hAnsi="Cambria Math" w:cs="Times New Roman"/>
                <w:sz w:val="18"/>
                <w:szCs w:val="18"/>
              </w:rPr>
              <m:t>log</m:t>
            </m:r>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num>
              <m:den>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m</m:t>
                    </m:r>
                  </m:sub>
                </m:sSub>
              </m:den>
            </m:f>
          </m:e>
        </m:nary>
      </m:oMath>
      <w:r w:rsidRPr="00335032">
        <w:rPr>
          <w:rFonts w:ascii="Times New Roman" w:eastAsia="Times New Roman" w:hAnsi="Times New Roman" w:cs="Times New Roman"/>
          <w:sz w:val="18"/>
          <w:szCs w:val="18"/>
        </w:rPr>
        <w:t xml:space="preserve"> where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oMath>
      <w:r w:rsidRPr="00335032">
        <w:rPr>
          <w:rFonts w:ascii="Times New Roman" w:eastAsia="Times New Roman" w:hAnsi="Times New Roman" w:cs="Times New Roman"/>
          <w:sz w:val="18"/>
          <w:szCs w:val="18"/>
        </w:rPr>
        <w:t xml:space="preserve"> is group m’s proportion of the population in location </w:t>
      </w:r>
      <m:oMath>
        <m:r>
          <w:rPr>
            <w:rFonts w:ascii="Cambria Math" w:eastAsia="Times New Roman" w:hAnsi="Cambria Math" w:cs="Times New Roman"/>
            <w:sz w:val="18"/>
            <w:szCs w:val="18"/>
          </w:rPr>
          <m:t>i</m:t>
        </m:r>
      </m:oMath>
      <w:r w:rsidRPr="00335032">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m</m:t>
            </m:r>
          </m:sub>
        </m:sSub>
      </m:oMath>
      <w:r w:rsidRPr="00335032">
        <w:rPr>
          <w:rFonts w:ascii="Times New Roman" w:eastAsia="Times New Roman" w:hAnsi="Times New Roman" w:cs="Times New Roman"/>
          <w:sz w:val="18"/>
          <w:szCs w:val="18"/>
        </w:rPr>
        <w:t xml:space="preserve"> is group m’s proportion of the overall population (Roberto, 2016). We use the same six ethnoracial groups as with our entropy scores.</w:t>
      </w:r>
    </w:p>
    <w:p w14:paraId="050EF73B"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c. Rank-order H refers to the rank-order information theory index, which measures income segregation (see Reardon et al., 2018).</w:t>
      </w:r>
    </w:p>
    <w:p w14:paraId="2A2F5499" w14:textId="77777777" w:rsidR="00644B7D" w:rsidRPr="00335032" w:rsidRDefault="00644B7D" w:rsidP="00644B7D">
      <w:pPr>
        <w:spacing w:after="0" w:line="240" w:lineRule="auto"/>
        <w:jc w:val="both"/>
        <w:rPr>
          <w:rFonts w:ascii="Times New Roman" w:eastAsia="Calibri" w:hAnsi="Times New Roman" w:cs="Times New Roman"/>
          <w:b/>
          <w:bCs/>
          <w:sz w:val="24"/>
          <w:szCs w:val="36"/>
        </w:rPr>
      </w:pPr>
    </w:p>
    <w:p w14:paraId="7E35B6CD" w14:textId="77777777" w:rsidR="00644B7D" w:rsidRPr="00335032" w:rsidRDefault="00644B7D" w:rsidP="00644B7D">
      <w:pPr>
        <w:spacing w:after="0" w:line="240" w:lineRule="auto"/>
        <w:jc w:val="both"/>
        <w:rPr>
          <w:rFonts w:ascii="Times New Roman" w:eastAsia="Calibri" w:hAnsi="Times New Roman" w:cs="Times New Roman"/>
          <w:b/>
          <w:bCs/>
          <w:sz w:val="24"/>
          <w:szCs w:val="36"/>
        </w:rPr>
      </w:pPr>
    </w:p>
    <w:p w14:paraId="2100F048"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BE85D5A"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31240F66"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02E27164"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4F46C9B3"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573A5F3D"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2BCF8D82"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69D724C"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7080C5E"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6AF1199E"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05932EF5"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E6A8D97" w14:textId="3E70B9C2" w:rsidR="00644B7D" w:rsidRPr="00335032" w:rsidRDefault="00644B7D" w:rsidP="00644B7D">
      <w:pPr>
        <w:spacing w:after="0" w:line="240" w:lineRule="auto"/>
        <w:jc w:val="both"/>
        <w:rPr>
          <w:rFonts w:ascii="Times New Roman" w:eastAsia="Calibri" w:hAnsi="Times New Roman" w:cs="Times New Roman"/>
          <w:sz w:val="24"/>
          <w:szCs w:val="36"/>
        </w:rPr>
      </w:pPr>
      <w:r w:rsidRPr="00335032">
        <w:rPr>
          <w:rFonts w:ascii="Times New Roman" w:eastAsia="Calibri" w:hAnsi="Times New Roman" w:cs="Times New Roman"/>
          <w:b/>
          <w:bCs/>
          <w:sz w:val="24"/>
          <w:szCs w:val="36"/>
        </w:rPr>
        <w:lastRenderedPageBreak/>
        <w:t xml:space="preserve">Table S9. </w:t>
      </w:r>
      <w:r w:rsidRPr="00335032">
        <w:rPr>
          <w:rFonts w:ascii="Times New Roman" w:eastAsia="Calibri" w:hAnsi="Times New Roman" w:cs="Times New Roman"/>
          <w:sz w:val="24"/>
          <w:szCs w:val="36"/>
        </w:rPr>
        <w:t>Summary statistics of additional zoning and land use measures</w:t>
      </w:r>
    </w:p>
    <w:p w14:paraId="78C6A24F"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p>
    <w:tbl>
      <w:tblPr>
        <w:tblStyle w:val="TableGrid"/>
        <w:tblW w:w="0" w:type="auto"/>
        <w:tblLook w:val="04A0" w:firstRow="1" w:lastRow="0" w:firstColumn="1" w:lastColumn="0" w:noHBand="0" w:noVBand="1"/>
      </w:tblPr>
      <w:tblGrid>
        <w:gridCol w:w="1608"/>
        <w:gridCol w:w="1858"/>
        <w:gridCol w:w="1389"/>
        <w:gridCol w:w="2302"/>
        <w:gridCol w:w="1859"/>
      </w:tblGrid>
      <w:tr w:rsidR="00644B7D" w:rsidRPr="00335032" w14:paraId="10BB79A1" w14:textId="77777777" w:rsidTr="00E7334F">
        <w:tc>
          <w:tcPr>
            <w:tcW w:w="1608" w:type="dxa"/>
          </w:tcPr>
          <w:p w14:paraId="774DA356" w14:textId="77777777" w:rsidR="00644B7D" w:rsidRPr="00335032" w:rsidRDefault="00644B7D" w:rsidP="00644B7D">
            <w:pPr>
              <w:jc w:val="center"/>
              <w:rPr>
                <w:rFonts w:ascii="Times New Roman" w:eastAsia="Calibri" w:hAnsi="Times New Roman" w:cs="Times New Roman"/>
                <w:sz w:val="20"/>
                <w:szCs w:val="28"/>
              </w:rPr>
            </w:pPr>
          </w:p>
        </w:tc>
        <w:tc>
          <w:tcPr>
            <w:tcW w:w="1858" w:type="dxa"/>
          </w:tcPr>
          <w:p w14:paraId="7880172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Average maximum permitted height across districts with residential units</w:t>
            </w:r>
          </w:p>
        </w:tc>
        <w:tc>
          <w:tcPr>
            <w:tcW w:w="1389" w:type="dxa"/>
          </w:tcPr>
          <w:p w14:paraId="6504DED9"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Permit accessory dwelling units (ADUs) in municipality</w:t>
            </w:r>
          </w:p>
        </w:tc>
        <w:tc>
          <w:tcPr>
            <w:tcW w:w="2302" w:type="dxa"/>
          </w:tcPr>
          <w:p w14:paraId="06E6272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Average minimum number of parking units required per dwelling unit across districts with residential units</w:t>
            </w:r>
          </w:p>
        </w:tc>
        <w:tc>
          <w:tcPr>
            <w:tcW w:w="1859" w:type="dxa"/>
          </w:tcPr>
          <w:p w14:paraId="467850AB"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Proportion of residential districts permitting multi-family housing by right</w:t>
            </w:r>
          </w:p>
        </w:tc>
      </w:tr>
      <w:tr w:rsidR="00644B7D" w:rsidRPr="00335032" w14:paraId="51CEBC08" w14:textId="77777777" w:rsidTr="00E7334F">
        <w:tc>
          <w:tcPr>
            <w:tcW w:w="1608" w:type="dxa"/>
          </w:tcPr>
          <w:p w14:paraId="0335D03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Mean (standard deviation)</w:t>
            </w:r>
          </w:p>
        </w:tc>
        <w:tc>
          <w:tcPr>
            <w:tcW w:w="1858" w:type="dxa"/>
          </w:tcPr>
          <w:p w14:paraId="428250D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34 feet (11.57)</w:t>
            </w:r>
          </w:p>
        </w:tc>
        <w:tc>
          <w:tcPr>
            <w:tcW w:w="1389" w:type="dxa"/>
          </w:tcPr>
          <w:p w14:paraId="1C64D13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0.46 (0.50)</w:t>
            </w:r>
          </w:p>
        </w:tc>
        <w:tc>
          <w:tcPr>
            <w:tcW w:w="2302" w:type="dxa"/>
          </w:tcPr>
          <w:p w14:paraId="62BA9B18"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1.8 spaces per unit (0.94)</w:t>
            </w:r>
          </w:p>
        </w:tc>
        <w:tc>
          <w:tcPr>
            <w:tcW w:w="1859" w:type="dxa"/>
          </w:tcPr>
          <w:p w14:paraId="2BDCD47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0.39 (0.23)</w:t>
            </w:r>
          </w:p>
        </w:tc>
      </w:tr>
      <w:tr w:rsidR="00644B7D" w:rsidRPr="00335032" w14:paraId="63266431" w14:textId="77777777" w:rsidTr="00E7334F">
        <w:tc>
          <w:tcPr>
            <w:tcW w:w="1608" w:type="dxa"/>
          </w:tcPr>
          <w:p w14:paraId="0310559A"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Observations</w:t>
            </w:r>
          </w:p>
        </w:tc>
        <w:tc>
          <w:tcPr>
            <w:tcW w:w="1858" w:type="dxa"/>
          </w:tcPr>
          <w:p w14:paraId="24B0AE7E"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2,505</w:t>
            </w:r>
          </w:p>
        </w:tc>
        <w:tc>
          <w:tcPr>
            <w:tcW w:w="1389" w:type="dxa"/>
          </w:tcPr>
          <w:p w14:paraId="2922DE6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2,639</w:t>
            </w:r>
          </w:p>
        </w:tc>
        <w:tc>
          <w:tcPr>
            <w:tcW w:w="2302" w:type="dxa"/>
          </w:tcPr>
          <w:p w14:paraId="39BC1DD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2,616</w:t>
            </w:r>
          </w:p>
        </w:tc>
        <w:tc>
          <w:tcPr>
            <w:tcW w:w="1859" w:type="dxa"/>
          </w:tcPr>
          <w:p w14:paraId="00D0BE6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2,611</w:t>
            </w:r>
          </w:p>
        </w:tc>
      </w:tr>
    </w:tbl>
    <w:p w14:paraId="52DE8AA9" w14:textId="77777777" w:rsidR="00644B7D" w:rsidRPr="00335032" w:rsidRDefault="00644B7D" w:rsidP="00644B7D">
      <w:pPr>
        <w:spacing w:after="0" w:line="480" w:lineRule="auto"/>
        <w:rPr>
          <w:rFonts w:ascii="Times New Roman" w:eastAsia="Calibri" w:hAnsi="Times New Roman" w:cs="Times New Roman"/>
          <w:b/>
          <w:sz w:val="24"/>
          <w:szCs w:val="24"/>
        </w:rPr>
      </w:pPr>
    </w:p>
    <w:p w14:paraId="3E7A590D" w14:textId="77777777" w:rsidR="00644B7D" w:rsidRPr="00335032" w:rsidRDefault="00644B7D" w:rsidP="00644B7D">
      <w:pPr>
        <w:spacing w:after="0" w:line="480" w:lineRule="auto"/>
        <w:rPr>
          <w:rFonts w:ascii="Times New Roman" w:eastAsia="Calibri" w:hAnsi="Times New Roman" w:cs="Times New Roman"/>
          <w:b/>
          <w:sz w:val="24"/>
          <w:szCs w:val="24"/>
        </w:rPr>
      </w:pPr>
    </w:p>
    <w:p w14:paraId="76B71186" w14:textId="77777777" w:rsidR="00644B7D" w:rsidRPr="00335032" w:rsidRDefault="00644B7D" w:rsidP="00644B7D">
      <w:pPr>
        <w:spacing w:after="0" w:line="480" w:lineRule="auto"/>
        <w:rPr>
          <w:rFonts w:ascii="Times New Roman" w:eastAsia="Calibri" w:hAnsi="Times New Roman" w:cs="Times New Roman"/>
          <w:b/>
          <w:sz w:val="24"/>
          <w:szCs w:val="24"/>
        </w:rPr>
      </w:pPr>
    </w:p>
    <w:p w14:paraId="68283EA8"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F8B255" w14:textId="77777777" w:rsidR="00644B7D" w:rsidRPr="00335032" w:rsidRDefault="00644B7D" w:rsidP="00644B7D">
      <w:pPr>
        <w:spacing w:after="0" w:line="480" w:lineRule="auto"/>
        <w:rPr>
          <w:rFonts w:ascii="Times New Roman" w:eastAsia="Calibri" w:hAnsi="Times New Roman" w:cs="Times New Roman"/>
          <w:b/>
          <w:sz w:val="24"/>
          <w:szCs w:val="24"/>
        </w:rPr>
      </w:pPr>
    </w:p>
    <w:p w14:paraId="61DE5805" w14:textId="77777777" w:rsidR="00644B7D" w:rsidRPr="00335032" w:rsidRDefault="00644B7D" w:rsidP="00644B7D">
      <w:pPr>
        <w:spacing w:after="0" w:line="480" w:lineRule="auto"/>
        <w:rPr>
          <w:rFonts w:ascii="Times New Roman" w:eastAsia="Calibri" w:hAnsi="Times New Roman" w:cs="Times New Roman"/>
          <w:b/>
          <w:sz w:val="24"/>
          <w:szCs w:val="24"/>
        </w:rPr>
      </w:pPr>
    </w:p>
    <w:p w14:paraId="29E39C72" w14:textId="77777777" w:rsidR="00644B7D" w:rsidRPr="00335032" w:rsidRDefault="00644B7D" w:rsidP="00644B7D">
      <w:pPr>
        <w:spacing w:after="0" w:line="480" w:lineRule="auto"/>
        <w:rPr>
          <w:rFonts w:ascii="Times New Roman" w:eastAsia="Calibri" w:hAnsi="Times New Roman" w:cs="Times New Roman"/>
          <w:b/>
          <w:sz w:val="24"/>
          <w:szCs w:val="24"/>
        </w:rPr>
      </w:pPr>
    </w:p>
    <w:p w14:paraId="1BF59915" w14:textId="77777777" w:rsidR="00644B7D" w:rsidRPr="00335032" w:rsidRDefault="00644B7D" w:rsidP="00644B7D">
      <w:pPr>
        <w:spacing w:after="0" w:line="480" w:lineRule="auto"/>
        <w:rPr>
          <w:rFonts w:ascii="Times New Roman" w:eastAsia="Calibri" w:hAnsi="Times New Roman" w:cs="Times New Roman"/>
          <w:b/>
          <w:sz w:val="24"/>
          <w:szCs w:val="24"/>
        </w:rPr>
      </w:pPr>
    </w:p>
    <w:p w14:paraId="37FE82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39CF7115" w14:textId="77777777" w:rsidR="00644B7D" w:rsidRPr="00335032" w:rsidRDefault="00644B7D" w:rsidP="00644B7D">
      <w:pPr>
        <w:spacing w:after="0" w:line="480" w:lineRule="auto"/>
        <w:rPr>
          <w:rFonts w:ascii="Times New Roman" w:eastAsia="Calibri" w:hAnsi="Times New Roman" w:cs="Times New Roman"/>
          <w:b/>
          <w:sz w:val="24"/>
          <w:szCs w:val="24"/>
        </w:rPr>
      </w:pPr>
    </w:p>
    <w:p w14:paraId="6631F5FD" w14:textId="77777777" w:rsidR="00644B7D" w:rsidRPr="00335032" w:rsidRDefault="00644B7D" w:rsidP="00644B7D">
      <w:pPr>
        <w:spacing w:after="0" w:line="480" w:lineRule="auto"/>
        <w:rPr>
          <w:rFonts w:ascii="Times New Roman" w:eastAsia="Calibri" w:hAnsi="Times New Roman" w:cs="Times New Roman"/>
          <w:b/>
          <w:sz w:val="24"/>
          <w:szCs w:val="24"/>
        </w:rPr>
      </w:pPr>
    </w:p>
    <w:p w14:paraId="25B6D011" w14:textId="77777777" w:rsidR="00644B7D" w:rsidRPr="00335032" w:rsidRDefault="00644B7D" w:rsidP="00644B7D">
      <w:pPr>
        <w:spacing w:after="0" w:line="480" w:lineRule="auto"/>
        <w:rPr>
          <w:rFonts w:ascii="Times New Roman" w:eastAsia="Calibri" w:hAnsi="Times New Roman" w:cs="Times New Roman"/>
          <w:b/>
          <w:sz w:val="24"/>
          <w:szCs w:val="24"/>
        </w:rPr>
      </w:pPr>
    </w:p>
    <w:p w14:paraId="7158D7E4" w14:textId="77777777" w:rsidR="00644B7D" w:rsidRPr="00335032" w:rsidRDefault="00644B7D" w:rsidP="00644B7D">
      <w:pPr>
        <w:spacing w:after="0" w:line="240" w:lineRule="auto"/>
        <w:rPr>
          <w:rFonts w:ascii="Times New Roman" w:eastAsia="Calibri" w:hAnsi="Times New Roman" w:cs="Times New Roman"/>
          <w:b/>
          <w:sz w:val="24"/>
          <w:szCs w:val="24"/>
        </w:rPr>
      </w:pPr>
    </w:p>
    <w:p w14:paraId="785F3D1C" w14:textId="77777777" w:rsidR="00644B7D" w:rsidRPr="00335032" w:rsidRDefault="00644B7D" w:rsidP="00644B7D">
      <w:pPr>
        <w:spacing w:after="0" w:line="240" w:lineRule="auto"/>
        <w:rPr>
          <w:rFonts w:ascii="Times New Roman" w:eastAsia="Calibri" w:hAnsi="Times New Roman" w:cs="Times New Roman"/>
          <w:b/>
          <w:sz w:val="24"/>
          <w:szCs w:val="24"/>
        </w:rPr>
      </w:pPr>
    </w:p>
    <w:p w14:paraId="78B861F7" w14:textId="77777777" w:rsidR="00644B7D" w:rsidRPr="00335032" w:rsidRDefault="00644B7D" w:rsidP="00644B7D">
      <w:pPr>
        <w:spacing w:after="0" w:line="240" w:lineRule="auto"/>
        <w:rPr>
          <w:rFonts w:ascii="Times New Roman" w:eastAsia="Calibri" w:hAnsi="Times New Roman" w:cs="Times New Roman"/>
          <w:b/>
          <w:sz w:val="24"/>
          <w:szCs w:val="24"/>
        </w:rPr>
      </w:pPr>
    </w:p>
    <w:p w14:paraId="2C70CA93"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00D615DC"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216AC537"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1A9B8F09"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72536909"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3D62F2BD"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6372989C"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713624D1"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449F06A2"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3AA56562"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21CEF8DE" w14:textId="23CE4121" w:rsidR="00644B7D" w:rsidRPr="00335032" w:rsidRDefault="00644B7D" w:rsidP="00644B7D">
      <w:pPr>
        <w:spacing w:after="0" w:line="240" w:lineRule="auto"/>
        <w:rPr>
          <w:rFonts w:ascii="Times New Roman" w:eastAsia="Calibri" w:hAnsi="Times New Roman" w:cs="Times New Roman"/>
          <w:b/>
          <w:bCs/>
          <w:sz w:val="24"/>
          <w:szCs w:val="36"/>
        </w:rPr>
      </w:pPr>
      <w:r w:rsidRPr="00335032">
        <w:rPr>
          <w:rFonts w:ascii="Times New Roman" w:eastAsia="Calibri" w:hAnsi="Times New Roman" w:cs="Times New Roman"/>
          <w:b/>
          <w:bCs/>
          <w:sz w:val="24"/>
          <w:szCs w:val="36"/>
        </w:rPr>
        <w:lastRenderedPageBreak/>
        <w:t xml:space="preserve">Table S10. </w:t>
      </w:r>
      <w:r w:rsidRPr="00335032">
        <w:rPr>
          <w:rFonts w:ascii="Times New Roman" w:eastAsia="Calibri" w:hAnsi="Times New Roman" w:cs="Times New Roman"/>
          <w:sz w:val="24"/>
          <w:szCs w:val="36"/>
        </w:rPr>
        <w:t>Differences in Zoning Restrictiveness Index values across different index and sample constructions</w:t>
      </w:r>
      <w:r w:rsidRPr="00335032">
        <w:rPr>
          <w:rFonts w:ascii="Times New Roman" w:eastAsia="Calibri" w:hAnsi="Times New Roman" w:cs="Times New Roman"/>
          <w:b/>
          <w:bCs/>
          <w:sz w:val="24"/>
          <w:szCs w:val="36"/>
        </w:rPr>
        <w:t xml:space="preserve"> </w:t>
      </w:r>
    </w:p>
    <w:p w14:paraId="1C2E2FE5" w14:textId="77777777" w:rsidR="00644B7D" w:rsidRPr="00335032" w:rsidRDefault="00644B7D" w:rsidP="00644B7D">
      <w:pPr>
        <w:spacing w:after="0" w:line="240" w:lineRule="auto"/>
        <w:rPr>
          <w:rFonts w:ascii="Times New Roman" w:eastAsia="Calibri" w:hAnsi="Times New Roman" w:cs="Times New Roman"/>
          <w:b/>
          <w:bCs/>
          <w:sz w:val="24"/>
          <w:szCs w:val="36"/>
        </w:rPr>
      </w:pPr>
    </w:p>
    <w:tbl>
      <w:tblPr>
        <w:tblStyle w:val="TableGrid"/>
        <w:tblW w:w="8832" w:type="dxa"/>
        <w:tblLayout w:type="fixed"/>
        <w:tblLook w:val="04A0" w:firstRow="1" w:lastRow="0" w:firstColumn="1" w:lastColumn="0" w:noHBand="0" w:noVBand="1"/>
      </w:tblPr>
      <w:tblGrid>
        <w:gridCol w:w="1578"/>
        <w:gridCol w:w="1477"/>
        <w:gridCol w:w="1440"/>
        <w:gridCol w:w="1440"/>
        <w:gridCol w:w="1440"/>
        <w:gridCol w:w="1457"/>
      </w:tblGrid>
      <w:tr w:rsidR="00644B7D" w:rsidRPr="00335032" w14:paraId="62A7C76D" w14:textId="77777777" w:rsidTr="00E7334F">
        <w:trPr>
          <w:trHeight w:val="290"/>
        </w:trPr>
        <w:tc>
          <w:tcPr>
            <w:tcW w:w="1578" w:type="dxa"/>
            <w:noWrap/>
            <w:hideMark/>
          </w:tcPr>
          <w:p w14:paraId="32F0367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MSA</w:t>
            </w:r>
          </w:p>
        </w:tc>
        <w:tc>
          <w:tcPr>
            <w:tcW w:w="1477" w:type="dxa"/>
            <w:noWrap/>
            <w:hideMark/>
          </w:tcPr>
          <w:p w14:paraId="446637A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Median Zoning Restrictiveness Index</w:t>
            </w:r>
          </w:p>
        </w:tc>
        <w:tc>
          <w:tcPr>
            <w:tcW w:w="1440" w:type="dxa"/>
          </w:tcPr>
          <w:p w14:paraId="2071623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Median 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with additional measures</w:t>
            </w:r>
          </w:p>
        </w:tc>
        <w:tc>
          <w:tcPr>
            <w:tcW w:w="1440" w:type="dxa"/>
            <w:noWrap/>
            <w:hideMark/>
          </w:tcPr>
          <w:p w14:paraId="38D10D4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 suburban-central city gap</w:t>
            </w:r>
          </w:p>
        </w:tc>
        <w:tc>
          <w:tcPr>
            <w:tcW w:w="1440" w:type="dxa"/>
            <w:noWrap/>
            <w:hideMark/>
          </w:tcPr>
          <w:p w14:paraId="46F732F6"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combined (median and gap measures)</w:t>
            </w:r>
          </w:p>
        </w:tc>
        <w:tc>
          <w:tcPr>
            <w:tcW w:w="1457" w:type="dxa"/>
            <w:noWrap/>
            <w:hideMark/>
          </w:tcPr>
          <w:p w14:paraId="146ADCDD"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combined (standardized)</w:t>
            </w:r>
          </w:p>
        </w:tc>
      </w:tr>
      <w:tr w:rsidR="00644B7D" w:rsidRPr="00335032" w14:paraId="24A80E7C" w14:textId="77777777" w:rsidTr="00E7334F">
        <w:trPr>
          <w:trHeight w:val="290"/>
        </w:trPr>
        <w:tc>
          <w:tcPr>
            <w:tcW w:w="1578" w:type="dxa"/>
            <w:noWrap/>
            <w:hideMark/>
          </w:tcPr>
          <w:p w14:paraId="599A82D4"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San Francisco MSA: original sample</w:t>
            </w:r>
          </w:p>
        </w:tc>
        <w:tc>
          <w:tcPr>
            <w:tcW w:w="1477" w:type="dxa"/>
            <w:noWrap/>
            <w:hideMark/>
          </w:tcPr>
          <w:p w14:paraId="1799DDE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2.84</w:t>
            </w:r>
          </w:p>
        </w:tc>
        <w:tc>
          <w:tcPr>
            <w:tcW w:w="1440" w:type="dxa"/>
          </w:tcPr>
          <w:p w14:paraId="04E1B292"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2.55</w:t>
            </w:r>
          </w:p>
        </w:tc>
        <w:tc>
          <w:tcPr>
            <w:tcW w:w="1440" w:type="dxa"/>
            <w:noWrap/>
            <w:hideMark/>
          </w:tcPr>
          <w:p w14:paraId="618C367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0.70</w:t>
            </w:r>
          </w:p>
        </w:tc>
        <w:tc>
          <w:tcPr>
            <w:tcW w:w="1440" w:type="dxa"/>
            <w:noWrap/>
            <w:hideMark/>
          </w:tcPr>
          <w:p w14:paraId="5B138D76"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3.55</w:t>
            </w:r>
          </w:p>
        </w:tc>
        <w:tc>
          <w:tcPr>
            <w:tcW w:w="1457" w:type="dxa"/>
            <w:noWrap/>
            <w:hideMark/>
          </w:tcPr>
          <w:p w14:paraId="1826D43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0.91</w:t>
            </w:r>
          </w:p>
        </w:tc>
      </w:tr>
      <w:tr w:rsidR="00644B7D" w:rsidRPr="00335032" w14:paraId="166A0753" w14:textId="77777777" w:rsidTr="00E7334F">
        <w:trPr>
          <w:trHeight w:val="290"/>
        </w:trPr>
        <w:tc>
          <w:tcPr>
            <w:tcW w:w="1578" w:type="dxa"/>
            <w:noWrap/>
            <w:hideMark/>
          </w:tcPr>
          <w:p w14:paraId="5E406FFB"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San Francisco MSA: full sample</w:t>
            </w:r>
          </w:p>
        </w:tc>
        <w:tc>
          <w:tcPr>
            <w:tcW w:w="1477" w:type="dxa"/>
            <w:noWrap/>
            <w:hideMark/>
          </w:tcPr>
          <w:p w14:paraId="6914CE3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2.97</w:t>
            </w:r>
          </w:p>
        </w:tc>
        <w:tc>
          <w:tcPr>
            <w:tcW w:w="1440" w:type="dxa"/>
          </w:tcPr>
          <w:p w14:paraId="5E38129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2.86</w:t>
            </w:r>
          </w:p>
        </w:tc>
        <w:tc>
          <w:tcPr>
            <w:tcW w:w="1440" w:type="dxa"/>
            <w:noWrap/>
            <w:hideMark/>
          </w:tcPr>
          <w:p w14:paraId="282EC37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1.06</w:t>
            </w:r>
          </w:p>
        </w:tc>
        <w:tc>
          <w:tcPr>
            <w:tcW w:w="1440" w:type="dxa"/>
            <w:noWrap/>
            <w:hideMark/>
          </w:tcPr>
          <w:p w14:paraId="250D691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4.02</w:t>
            </w:r>
          </w:p>
        </w:tc>
        <w:tc>
          <w:tcPr>
            <w:tcW w:w="1457" w:type="dxa"/>
            <w:noWrap/>
            <w:hideMark/>
          </w:tcPr>
          <w:p w14:paraId="0E84C44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1.21</w:t>
            </w:r>
          </w:p>
        </w:tc>
      </w:tr>
      <w:tr w:rsidR="00644B7D" w:rsidRPr="00335032" w14:paraId="6A535F7B" w14:textId="77777777" w:rsidTr="00E7334F">
        <w:trPr>
          <w:trHeight w:val="290"/>
        </w:trPr>
        <w:tc>
          <w:tcPr>
            <w:tcW w:w="1578" w:type="dxa"/>
            <w:noWrap/>
            <w:hideMark/>
          </w:tcPr>
          <w:p w14:paraId="7CA7AB7A"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Houston MSA: original sample</w:t>
            </w:r>
          </w:p>
        </w:tc>
        <w:tc>
          <w:tcPr>
            <w:tcW w:w="1477" w:type="dxa"/>
            <w:noWrap/>
            <w:hideMark/>
          </w:tcPr>
          <w:p w14:paraId="476A6D9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1.23</w:t>
            </w:r>
          </w:p>
        </w:tc>
        <w:tc>
          <w:tcPr>
            <w:tcW w:w="1440" w:type="dxa"/>
          </w:tcPr>
          <w:p w14:paraId="58FB26E0"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0.83</w:t>
            </w:r>
          </w:p>
        </w:tc>
        <w:tc>
          <w:tcPr>
            <w:tcW w:w="1440" w:type="dxa"/>
            <w:noWrap/>
            <w:hideMark/>
          </w:tcPr>
          <w:p w14:paraId="360F443B"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1.94</w:t>
            </w:r>
          </w:p>
        </w:tc>
        <w:tc>
          <w:tcPr>
            <w:tcW w:w="1440" w:type="dxa"/>
            <w:noWrap/>
            <w:hideMark/>
          </w:tcPr>
          <w:p w14:paraId="02B951A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3.17</w:t>
            </w:r>
          </w:p>
        </w:tc>
        <w:tc>
          <w:tcPr>
            <w:tcW w:w="1457" w:type="dxa"/>
            <w:noWrap/>
            <w:hideMark/>
          </w:tcPr>
          <w:p w14:paraId="1A7DE1FD"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0.65</w:t>
            </w:r>
          </w:p>
        </w:tc>
      </w:tr>
      <w:tr w:rsidR="00644B7D" w:rsidRPr="00335032" w14:paraId="623A6296" w14:textId="77777777" w:rsidTr="00E7334F">
        <w:trPr>
          <w:trHeight w:val="290"/>
        </w:trPr>
        <w:tc>
          <w:tcPr>
            <w:tcW w:w="1578" w:type="dxa"/>
            <w:noWrap/>
            <w:hideMark/>
          </w:tcPr>
          <w:p w14:paraId="1B82E7D9"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Houston MSA: full sample</w:t>
            </w:r>
          </w:p>
        </w:tc>
        <w:tc>
          <w:tcPr>
            <w:tcW w:w="1477" w:type="dxa"/>
            <w:noWrap/>
            <w:hideMark/>
          </w:tcPr>
          <w:p w14:paraId="08053478"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1.04</w:t>
            </w:r>
          </w:p>
        </w:tc>
        <w:tc>
          <w:tcPr>
            <w:tcW w:w="1440" w:type="dxa"/>
          </w:tcPr>
          <w:p w14:paraId="4ABAA1C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0.69</w:t>
            </w:r>
          </w:p>
        </w:tc>
        <w:tc>
          <w:tcPr>
            <w:tcW w:w="1440" w:type="dxa"/>
            <w:noWrap/>
            <w:hideMark/>
          </w:tcPr>
          <w:p w14:paraId="74DC51D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2.46</w:t>
            </w:r>
          </w:p>
        </w:tc>
        <w:tc>
          <w:tcPr>
            <w:tcW w:w="1440" w:type="dxa"/>
            <w:noWrap/>
            <w:hideMark/>
          </w:tcPr>
          <w:p w14:paraId="433D629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3.50</w:t>
            </w:r>
          </w:p>
        </w:tc>
        <w:tc>
          <w:tcPr>
            <w:tcW w:w="1457" w:type="dxa"/>
            <w:noWrap/>
            <w:hideMark/>
          </w:tcPr>
          <w:p w14:paraId="24FB92C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0.85</w:t>
            </w:r>
          </w:p>
        </w:tc>
      </w:tr>
    </w:tbl>
    <w:p w14:paraId="74E4F838" w14:textId="77777777" w:rsidR="00644B7D" w:rsidRPr="00335032" w:rsidRDefault="00644B7D" w:rsidP="00644B7D">
      <w:pPr>
        <w:spacing w:after="0" w:line="480" w:lineRule="auto"/>
        <w:rPr>
          <w:rFonts w:ascii="Times New Roman" w:eastAsia="Calibri" w:hAnsi="Times New Roman" w:cs="Times New Roman"/>
          <w:b/>
          <w:sz w:val="24"/>
          <w:szCs w:val="24"/>
        </w:rPr>
      </w:pPr>
    </w:p>
    <w:p w14:paraId="0F13737C" w14:textId="77777777" w:rsidR="00644B7D" w:rsidRPr="00335032" w:rsidRDefault="00644B7D" w:rsidP="00644B7D">
      <w:pPr>
        <w:spacing w:after="0" w:line="480" w:lineRule="auto"/>
        <w:rPr>
          <w:rFonts w:ascii="Times New Roman" w:eastAsia="Calibri" w:hAnsi="Times New Roman" w:cs="Times New Roman"/>
          <w:b/>
          <w:sz w:val="24"/>
          <w:szCs w:val="24"/>
        </w:rPr>
      </w:pPr>
    </w:p>
    <w:p w14:paraId="78420854" w14:textId="77777777" w:rsidR="00644B7D" w:rsidRPr="00335032" w:rsidRDefault="00644B7D" w:rsidP="00644B7D">
      <w:pPr>
        <w:spacing w:after="0" w:line="240" w:lineRule="auto"/>
        <w:rPr>
          <w:rFonts w:ascii="Times New Roman" w:eastAsia="Calibri" w:hAnsi="Times New Roman" w:cs="Times New Roman"/>
          <w:b/>
          <w:sz w:val="24"/>
          <w:szCs w:val="24"/>
        </w:rPr>
      </w:pPr>
    </w:p>
    <w:p w14:paraId="184665C5" w14:textId="77777777" w:rsidR="00644B7D" w:rsidRPr="00335032" w:rsidRDefault="00644B7D" w:rsidP="00644B7D">
      <w:pPr>
        <w:spacing w:after="0" w:line="240" w:lineRule="auto"/>
        <w:rPr>
          <w:rFonts w:ascii="Times New Roman" w:eastAsia="Calibri" w:hAnsi="Times New Roman" w:cs="Times New Roman"/>
          <w:b/>
          <w:sz w:val="24"/>
          <w:szCs w:val="24"/>
        </w:rPr>
      </w:pPr>
    </w:p>
    <w:p w14:paraId="5FBAF5BB" w14:textId="77777777" w:rsidR="00644B7D" w:rsidRPr="00335032" w:rsidRDefault="00644B7D" w:rsidP="00644B7D">
      <w:pPr>
        <w:spacing w:after="0" w:line="240" w:lineRule="auto"/>
        <w:rPr>
          <w:rFonts w:ascii="Times New Roman" w:eastAsia="Calibri" w:hAnsi="Times New Roman" w:cs="Times New Roman"/>
          <w:b/>
          <w:sz w:val="24"/>
          <w:szCs w:val="24"/>
        </w:rPr>
      </w:pPr>
    </w:p>
    <w:p w14:paraId="2271E57F" w14:textId="77777777" w:rsidR="00644B7D" w:rsidRPr="00335032" w:rsidRDefault="00644B7D" w:rsidP="00644B7D">
      <w:pPr>
        <w:spacing w:after="0" w:line="240" w:lineRule="auto"/>
        <w:rPr>
          <w:rFonts w:ascii="Times New Roman" w:eastAsia="Calibri" w:hAnsi="Times New Roman" w:cs="Times New Roman"/>
          <w:b/>
          <w:sz w:val="24"/>
          <w:szCs w:val="24"/>
        </w:rPr>
      </w:pPr>
    </w:p>
    <w:p w14:paraId="067DF575" w14:textId="77777777" w:rsidR="00644B7D" w:rsidRPr="00335032" w:rsidRDefault="00644B7D" w:rsidP="00644B7D">
      <w:pPr>
        <w:spacing w:after="0" w:line="240" w:lineRule="auto"/>
        <w:rPr>
          <w:rFonts w:ascii="Times New Roman" w:eastAsia="Calibri" w:hAnsi="Times New Roman" w:cs="Times New Roman"/>
          <w:b/>
          <w:sz w:val="24"/>
          <w:szCs w:val="24"/>
        </w:rPr>
      </w:pPr>
    </w:p>
    <w:p w14:paraId="293E4573" w14:textId="77777777" w:rsidR="00644B7D" w:rsidRPr="00335032" w:rsidRDefault="00644B7D" w:rsidP="00644B7D">
      <w:pPr>
        <w:spacing w:after="0" w:line="240" w:lineRule="auto"/>
        <w:rPr>
          <w:rFonts w:ascii="Times New Roman" w:eastAsia="Calibri" w:hAnsi="Times New Roman" w:cs="Times New Roman"/>
          <w:b/>
          <w:sz w:val="24"/>
          <w:szCs w:val="24"/>
        </w:rPr>
      </w:pPr>
    </w:p>
    <w:p w14:paraId="54FB0C3E" w14:textId="77777777" w:rsidR="00644B7D" w:rsidRPr="00335032" w:rsidRDefault="00644B7D" w:rsidP="00644B7D">
      <w:pPr>
        <w:spacing w:after="0" w:line="240" w:lineRule="auto"/>
        <w:rPr>
          <w:rFonts w:ascii="Times New Roman" w:eastAsia="Calibri" w:hAnsi="Times New Roman" w:cs="Times New Roman"/>
          <w:b/>
          <w:sz w:val="24"/>
          <w:szCs w:val="24"/>
        </w:rPr>
      </w:pPr>
    </w:p>
    <w:p w14:paraId="3E117A98" w14:textId="77777777" w:rsidR="00644B7D" w:rsidRPr="00335032" w:rsidRDefault="00644B7D" w:rsidP="00644B7D">
      <w:pPr>
        <w:spacing w:after="0" w:line="240" w:lineRule="auto"/>
        <w:rPr>
          <w:rFonts w:ascii="Times New Roman" w:eastAsia="Calibri" w:hAnsi="Times New Roman" w:cs="Times New Roman"/>
          <w:b/>
          <w:sz w:val="24"/>
          <w:szCs w:val="24"/>
        </w:rPr>
      </w:pPr>
    </w:p>
    <w:p w14:paraId="3F98EB6A" w14:textId="77777777" w:rsidR="00644B7D" w:rsidRPr="00335032" w:rsidRDefault="00644B7D" w:rsidP="00644B7D">
      <w:pPr>
        <w:spacing w:after="0" w:line="240" w:lineRule="auto"/>
        <w:rPr>
          <w:rFonts w:ascii="Times New Roman" w:eastAsia="Calibri" w:hAnsi="Times New Roman" w:cs="Times New Roman"/>
          <w:b/>
          <w:sz w:val="24"/>
          <w:szCs w:val="24"/>
        </w:rPr>
      </w:pPr>
    </w:p>
    <w:p w14:paraId="688C254F" w14:textId="77777777" w:rsidR="00644B7D" w:rsidRPr="00335032" w:rsidRDefault="00644B7D" w:rsidP="00644B7D">
      <w:pPr>
        <w:spacing w:after="0" w:line="240" w:lineRule="auto"/>
        <w:rPr>
          <w:rFonts w:ascii="Times New Roman" w:eastAsia="Calibri" w:hAnsi="Times New Roman" w:cs="Times New Roman"/>
          <w:b/>
          <w:sz w:val="24"/>
          <w:szCs w:val="24"/>
        </w:rPr>
      </w:pPr>
    </w:p>
    <w:p w14:paraId="638045CD" w14:textId="77777777" w:rsidR="00644B7D" w:rsidRPr="00335032" w:rsidRDefault="00644B7D" w:rsidP="00644B7D">
      <w:pPr>
        <w:spacing w:after="0" w:line="240" w:lineRule="auto"/>
        <w:rPr>
          <w:rFonts w:ascii="Times New Roman" w:eastAsia="Calibri" w:hAnsi="Times New Roman" w:cs="Times New Roman"/>
          <w:b/>
          <w:sz w:val="24"/>
          <w:szCs w:val="24"/>
        </w:rPr>
      </w:pPr>
    </w:p>
    <w:p w14:paraId="4B02BE36" w14:textId="77777777" w:rsidR="00644B7D" w:rsidRPr="00335032" w:rsidRDefault="00644B7D" w:rsidP="00644B7D">
      <w:pPr>
        <w:spacing w:after="0" w:line="240" w:lineRule="auto"/>
        <w:rPr>
          <w:rFonts w:ascii="Times New Roman" w:eastAsia="Calibri" w:hAnsi="Times New Roman" w:cs="Times New Roman"/>
          <w:b/>
          <w:sz w:val="24"/>
          <w:szCs w:val="24"/>
        </w:rPr>
      </w:pPr>
    </w:p>
    <w:p w14:paraId="4347F74E" w14:textId="77777777" w:rsidR="00644B7D" w:rsidRPr="00335032" w:rsidRDefault="00644B7D" w:rsidP="00644B7D">
      <w:pPr>
        <w:spacing w:after="0" w:line="240" w:lineRule="auto"/>
        <w:rPr>
          <w:rFonts w:ascii="Times New Roman" w:eastAsia="Calibri" w:hAnsi="Times New Roman" w:cs="Times New Roman"/>
          <w:b/>
          <w:sz w:val="24"/>
          <w:szCs w:val="24"/>
        </w:rPr>
      </w:pPr>
    </w:p>
    <w:p w14:paraId="014CD7BD"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040C5B" w14:textId="77777777" w:rsidR="00644B7D" w:rsidRPr="00335032" w:rsidRDefault="00644B7D" w:rsidP="00644B7D">
      <w:pPr>
        <w:spacing w:after="0" w:line="240" w:lineRule="auto"/>
        <w:rPr>
          <w:rFonts w:ascii="Times New Roman" w:eastAsia="Calibri" w:hAnsi="Times New Roman" w:cs="Times New Roman"/>
          <w:b/>
          <w:sz w:val="24"/>
          <w:szCs w:val="24"/>
        </w:rPr>
      </w:pPr>
    </w:p>
    <w:p w14:paraId="099D585C" w14:textId="77777777" w:rsidR="001140C0" w:rsidRPr="00335032" w:rsidRDefault="001140C0" w:rsidP="00644B7D">
      <w:pPr>
        <w:spacing w:after="0" w:line="240" w:lineRule="auto"/>
        <w:rPr>
          <w:rFonts w:ascii="Times New Roman" w:eastAsia="Calibri" w:hAnsi="Times New Roman" w:cs="Times New Roman"/>
          <w:b/>
          <w:sz w:val="24"/>
          <w:szCs w:val="24"/>
        </w:rPr>
      </w:pPr>
    </w:p>
    <w:p w14:paraId="42285CAC" w14:textId="77777777" w:rsidR="001140C0" w:rsidRPr="00335032" w:rsidRDefault="001140C0" w:rsidP="00644B7D">
      <w:pPr>
        <w:spacing w:after="0" w:line="240" w:lineRule="auto"/>
        <w:rPr>
          <w:rFonts w:ascii="Times New Roman" w:eastAsia="Calibri" w:hAnsi="Times New Roman" w:cs="Times New Roman"/>
          <w:b/>
          <w:sz w:val="24"/>
          <w:szCs w:val="24"/>
        </w:rPr>
      </w:pPr>
    </w:p>
    <w:p w14:paraId="16E20DCA" w14:textId="77777777" w:rsidR="001140C0" w:rsidRPr="00335032" w:rsidRDefault="001140C0" w:rsidP="00644B7D">
      <w:pPr>
        <w:spacing w:after="0" w:line="240" w:lineRule="auto"/>
        <w:rPr>
          <w:rFonts w:ascii="Times New Roman" w:eastAsia="Calibri" w:hAnsi="Times New Roman" w:cs="Times New Roman"/>
          <w:b/>
          <w:sz w:val="24"/>
          <w:szCs w:val="24"/>
        </w:rPr>
      </w:pPr>
    </w:p>
    <w:p w14:paraId="6C862A5D" w14:textId="77777777" w:rsidR="001140C0" w:rsidRPr="00335032" w:rsidRDefault="001140C0" w:rsidP="00644B7D">
      <w:pPr>
        <w:spacing w:after="0" w:line="240" w:lineRule="auto"/>
        <w:rPr>
          <w:rFonts w:ascii="Times New Roman" w:eastAsia="Calibri" w:hAnsi="Times New Roman" w:cs="Times New Roman"/>
          <w:b/>
          <w:sz w:val="24"/>
          <w:szCs w:val="24"/>
        </w:rPr>
      </w:pPr>
    </w:p>
    <w:p w14:paraId="077EBA52" w14:textId="77777777" w:rsidR="001140C0" w:rsidRPr="00335032" w:rsidRDefault="001140C0" w:rsidP="00644B7D">
      <w:pPr>
        <w:spacing w:after="0" w:line="240" w:lineRule="auto"/>
        <w:rPr>
          <w:rFonts w:ascii="Times New Roman" w:eastAsia="Calibri" w:hAnsi="Times New Roman" w:cs="Times New Roman"/>
          <w:b/>
          <w:sz w:val="24"/>
          <w:szCs w:val="24"/>
        </w:rPr>
      </w:pPr>
    </w:p>
    <w:p w14:paraId="62F7D970" w14:textId="77777777" w:rsidR="001140C0" w:rsidRPr="00335032" w:rsidRDefault="001140C0" w:rsidP="00644B7D">
      <w:pPr>
        <w:spacing w:after="0" w:line="240" w:lineRule="auto"/>
        <w:rPr>
          <w:rFonts w:ascii="Times New Roman" w:eastAsia="Calibri" w:hAnsi="Times New Roman" w:cs="Times New Roman"/>
          <w:b/>
          <w:sz w:val="24"/>
          <w:szCs w:val="24"/>
        </w:rPr>
      </w:pPr>
    </w:p>
    <w:p w14:paraId="7642D3B9" w14:textId="77777777" w:rsidR="001140C0" w:rsidRPr="00335032" w:rsidRDefault="001140C0" w:rsidP="00644B7D">
      <w:pPr>
        <w:spacing w:after="0" w:line="240" w:lineRule="auto"/>
        <w:rPr>
          <w:rFonts w:ascii="Times New Roman" w:eastAsia="Calibri" w:hAnsi="Times New Roman" w:cs="Times New Roman"/>
          <w:b/>
          <w:sz w:val="24"/>
          <w:szCs w:val="24"/>
        </w:rPr>
      </w:pPr>
    </w:p>
    <w:p w14:paraId="207CFAD3" w14:textId="77777777" w:rsidR="001140C0" w:rsidRPr="00335032" w:rsidRDefault="001140C0" w:rsidP="00644B7D">
      <w:pPr>
        <w:spacing w:after="0" w:line="240" w:lineRule="auto"/>
        <w:rPr>
          <w:rFonts w:ascii="Times New Roman" w:eastAsia="Calibri" w:hAnsi="Times New Roman" w:cs="Times New Roman"/>
          <w:b/>
          <w:sz w:val="24"/>
          <w:szCs w:val="24"/>
        </w:rPr>
      </w:pPr>
    </w:p>
    <w:p w14:paraId="604B1B22" w14:textId="77777777" w:rsidR="001140C0" w:rsidRPr="00335032" w:rsidRDefault="001140C0" w:rsidP="00644B7D">
      <w:pPr>
        <w:spacing w:after="0" w:line="240" w:lineRule="auto"/>
        <w:rPr>
          <w:rFonts w:ascii="Times New Roman" w:eastAsia="Calibri" w:hAnsi="Times New Roman" w:cs="Times New Roman"/>
          <w:b/>
          <w:sz w:val="24"/>
          <w:szCs w:val="24"/>
        </w:rPr>
      </w:pPr>
    </w:p>
    <w:p w14:paraId="518E16E1" w14:textId="77777777" w:rsidR="001140C0" w:rsidRPr="00335032" w:rsidRDefault="001140C0" w:rsidP="00644B7D">
      <w:pPr>
        <w:spacing w:after="0" w:line="240" w:lineRule="auto"/>
        <w:rPr>
          <w:rFonts w:ascii="Times New Roman" w:eastAsia="Calibri" w:hAnsi="Times New Roman" w:cs="Times New Roman"/>
          <w:b/>
          <w:sz w:val="24"/>
          <w:szCs w:val="24"/>
        </w:rPr>
      </w:pPr>
    </w:p>
    <w:p w14:paraId="463CF910" w14:textId="3C5CDCC4"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S11.</w:t>
      </w:r>
      <w:r w:rsidRPr="00335032">
        <w:rPr>
          <w:rFonts w:ascii="Times New Roman" w:eastAsia="Calibri" w:hAnsi="Times New Roman" w:cs="Times New Roman"/>
          <w:sz w:val="24"/>
          <w:szCs w:val="24"/>
        </w:rPr>
        <w:t xml:space="preserve"> Comparison of most restrictive municipalities between full National Zoning and Land Use Database and Wharton Residential Land Use Regulatory Index 2018 samples</w:t>
      </w:r>
    </w:p>
    <w:p w14:paraId="2C2BBF5E"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5"/>
        <w:gridCol w:w="2699"/>
        <w:gridCol w:w="1766"/>
        <w:gridCol w:w="1930"/>
        <w:gridCol w:w="1602"/>
      </w:tblGrid>
      <w:tr w:rsidR="00644B7D" w:rsidRPr="00335032" w14:paraId="697007DB" w14:textId="77777777" w:rsidTr="00E7334F">
        <w:tc>
          <w:tcPr>
            <w:tcW w:w="805" w:type="dxa"/>
          </w:tcPr>
          <w:p w14:paraId="255949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7" w:type="dxa"/>
            <w:gridSpan w:val="4"/>
          </w:tcPr>
          <w:p w14:paraId="6D72D55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municipalities</w:t>
            </w:r>
          </w:p>
        </w:tc>
      </w:tr>
      <w:tr w:rsidR="00644B7D" w:rsidRPr="00335032" w14:paraId="79D37062" w14:textId="77777777" w:rsidTr="00E7334F">
        <w:tc>
          <w:tcPr>
            <w:tcW w:w="805" w:type="dxa"/>
          </w:tcPr>
          <w:p w14:paraId="09EA49E2"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7C21171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values (N=2,639)</w:t>
            </w:r>
          </w:p>
        </w:tc>
        <w:tc>
          <w:tcPr>
            <w:tcW w:w="3532" w:type="dxa"/>
            <w:gridSpan w:val="2"/>
          </w:tcPr>
          <w:p w14:paraId="1C801C8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values (N=2,844)</w:t>
            </w:r>
          </w:p>
        </w:tc>
      </w:tr>
      <w:tr w:rsidR="00644B7D" w:rsidRPr="00335032" w14:paraId="54FCC01D" w14:textId="77777777" w:rsidTr="00E7334F">
        <w:tc>
          <w:tcPr>
            <w:tcW w:w="805" w:type="dxa"/>
          </w:tcPr>
          <w:p w14:paraId="3F8B5DC8" w14:textId="77777777" w:rsidR="00644B7D" w:rsidRPr="00335032" w:rsidRDefault="00644B7D" w:rsidP="00644B7D">
            <w:pPr>
              <w:rPr>
                <w:rFonts w:ascii="Times New Roman" w:eastAsia="Calibri" w:hAnsi="Times New Roman" w:cs="Times New Roman"/>
                <w:sz w:val="18"/>
                <w:szCs w:val="24"/>
              </w:rPr>
            </w:pPr>
          </w:p>
        </w:tc>
        <w:tc>
          <w:tcPr>
            <w:tcW w:w="2699" w:type="dxa"/>
          </w:tcPr>
          <w:p w14:paraId="609996F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7F42B0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3C7C95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2" w:type="dxa"/>
          </w:tcPr>
          <w:p w14:paraId="1272B0FE" w14:textId="674E0BCF"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WRLURI</w:t>
            </w:r>
          </w:p>
        </w:tc>
      </w:tr>
      <w:tr w:rsidR="00644B7D" w:rsidRPr="00335032" w14:paraId="08450FE4" w14:textId="77777777" w:rsidTr="00E7334F">
        <w:tc>
          <w:tcPr>
            <w:tcW w:w="805" w:type="dxa"/>
          </w:tcPr>
          <w:p w14:paraId="7F62E9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1094AE9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Windsor, NJ</w:t>
            </w:r>
          </w:p>
        </w:tc>
        <w:tc>
          <w:tcPr>
            <w:tcW w:w="1766" w:type="dxa"/>
          </w:tcPr>
          <w:p w14:paraId="32FA6FF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3.51</w:t>
            </w:r>
          </w:p>
        </w:tc>
        <w:tc>
          <w:tcPr>
            <w:tcW w:w="1930" w:type="dxa"/>
          </w:tcPr>
          <w:p w14:paraId="4CA5DE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Kingstree, SC</w:t>
            </w:r>
          </w:p>
        </w:tc>
        <w:tc>
          <w:tcPr>
            <w:tcW w:w="1602" w:type="dxa"/>
          </w:tcPr>
          <w:p w14:paraId="1245511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4.86</w:t>
            </w:r>
          </w:p>
        </w:tc>
      </w:tr>
      <w:tr w:rsidR="00644B7D" w:rsidRPr="00335032" w14:paraId="24C430EA" w14:textId="77777777" w:rsidTr="00E7334F">
        <w:tc>
          <w:tcPr>
            <w:tcW w:w="805" w:type="dxa"/>
          </w:tcPr>
          <w:p w14:paraId="5C7F4F3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1B0E72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Redmond, WA</w:t>
            </w:r>
          </w:p>
        </w:tc>
        <w:tc>
          <w:tcPr>
            <w:tcW w:w="1766" w:type="dxa"/>
          </w:tcPr>
          <w:p w14:paraId="145064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3.51</w:t>
            </w:r>
          </w:p>
        </w:tc>
        <w:tc>
          <w:tcPr>
            <w:tcW w:w="1930" w:type="dxa"/>
          </w:tcPr>
          <w:p w14:paraId="6B1FFC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Hidalgo, TX</w:t>
            </w:r>
          </w:p>
        </w:tc>
        <w:tc>
          <w:tcPr>
            <w:tcW w:w="1602" w:type="dxa"/>
          </w:tcPr>
          <w:p w14:paraId="452483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3.94</w:t>
            </w:r>
          </w:p>
        </w:tc>
      </w:tr>
      <w:tr w:rsidR="00644B7D" w:rsidRPr="00335032" w14:paraId="4AEA58E5" w14:textId="77777777" w:rsidTr="00E7334F">
        <w:tc>
          <w:tcPr>
            <w:tcW w:w="805" w:type="dxa"/>
          </w:tcPr>
          <w:p w14:paraId="159534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18086A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Paula, CA</w:t>
            </w:r>
          </w:p>
        </w:tc>
        <w:tc>
          <w:tcPr>
            <w:tcW w:w="1766" w:type="dxa"/>
          </w:tcPr>
          <w:p w14:paraId="15F7E4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3.34</w:t>
            </w:r>
          </w:p>
        </w:tc>
        <w:tc>
          <w:tcPr>
            <w:tcW w:w="1930" w:type="dxa"/>
          </w:tcPr>
          <w:p w14:paraId="61FFD1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Menands, NY</w:t>
            </w:r>
          </w:p>
        </w:tc>
        <w:tc>
          <w:tcPr>
            <w:tcW w:w="1602" w:type="dxa"/>
          </w:tcPr>
          <w:p w14:paraId="2E2134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3.69</w:t>
            </w:r>
          </w:p>
        </w:tc>
      </w:tr>
      <w:tr w:rsidR="00644B7D" w:rsidRPr="00335032" w14:paraId="43901FBD" w14:textId="77777777" w:rsidTr="00E7334F">
        <w:tc>
          <w:tcPr>
            <w:tcW w:w="805" w:type="dxa"/>
          </w:tcPr>
          <w:p w14:paraId="1B61283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795012A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Olympia, WA</w:t>
            </w:r>
          </w:p>
        </w:tc>
        <w:tc>
          <w:tcPr>
            <w:tcW w:w="1766" w:type="dxa"/>
          </w:tcPr>
          <w:p w14:paraId="0FE8809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3.34</w:t>
            </w:r>
          </w:p>
        </w:tc>
        <w:tc>
          <w:tcPr>
            <w:tcW w:w="1930" w:type="dxa"/>
          </w:tcPr>
          <w:p w14:paraId="659AC8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Niagara, NY </w:t>
            </w:r>
          </w:p>
        </w:tc>
        <w:tc>
          <w:tcPr>
            <w:tcW w:w="1602" w:type="dxa"/>
          </w:tcPr>
          <w:p w14:paraId="7E19EC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3.50</w:t>
            </w:r>
          </w:p>
        </w:tc>
      </w:tr>
      <w:tr w:rsidR="00644B7D" w:rsidRPr="00335032" w14:paraId="245634FA" w14:textId="77777777" w:rsidTr="00E7334F">
        <w:tc>
          <w:tcPr>
            <w:tcW w:w="805" w:type="dxa"/>
          </w:tcPr>
          <w:p w14:paraId="0B1E5F2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2735AF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Lawrence Township, NJ</w:t>
            </w:r>
          </w:p>
        </w:tc>
        <w:tc>
          <w:tcPr>
            <w:tcW w:w="1766" w:type="dxa"/>
          </w:tcPr>
          <w:p w14:paraId="51956C3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6C651C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Rush, PA</w:t>
            </w:r>
          </w:p>
        </w:tc>
        <w:tc>
          <w:tcPr>
            <w:tcW w:w="1602" w:type="dxa"/>
          </w:tcPr>
          <w:p w14:paraId="7E126F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3.46</w:t>
            </w:r>
          </w:p>
        </w:tc>
      </w:tr>
      <w:tr w:rsidR="00644B7D" w:rsidRPr="00335032" w14:paraId="1A431EA4" w14:textId="77777777" w:rsidTr="00E7334F">
        <w:tc>
          <w:tcPr>
            <w:tcW w:w="805" w:type="dxa"/>
          </w:tcPr>
          <w:p w14:paraId="1A3B2A0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6AC7DB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Barnstable, MA</w:t>
            </w:r>
          </w:p>
        </w:tc>
        <w:tc>
          <w:tcPr>
            <w:tcW w:w="1766" w:type="dxa"/>
          </w:tcPr>
          <w:p w14:paraId="1039EE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196FCE3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Coral Springs, FL</w:t>
            </w:r>
          </w:p>
        </w:tc>
        <w:tc>
          <w:tcPr>
            <w:tcW w:w="1602" w:type="dxa"/>
          </w:tcPr>
          <w:p w14:paraId="7145B52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3.35</w:t>
            </w:r>
          </w:p>
        </w:tc>
      </w:tr>
      <w:tr w:rsidR="00644B7D" w:rsidRPr="00335032" w14:paraId="4D05F86E" w14:textId="77777777" w:rsidTr="00E7334F">
        <w:tc>
          <w:tcPr>
            <w:tcW w:w="805" w:type="dxa"/>
          </w:tcPr>
          <w:p w14:paraId="1BFB371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0F7D72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Chelan, WA</w:t>
            </w:r>
          </w:p>
        </w:tc>
        <w:tc>
          <w:tcPr>
            <w:tcW w:w="1766" w:type="dxa"/>
          </w:tcPr>
          <w:p w14:paraId="5A9BB03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21C408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Ridgewood, NJ </w:t>
            </w:r>
          </w:p>
        </w:tc>
        <w:tc>
          <w:tcPr>
            <w:tcW w:w="1602" w:type="dxa"/>
          </w:tcPr>
          <w:p w14:paraId="787574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3.20</w:t>
            </w:r>
          </w:p>
        </w:tc>
      </w:tr>
      <w:tr w:rsidR="00644B7D" w:rsidRPr="00335032" w14:paraId="069E314C" w14:textId="77777777" w:rsidTr="00E7334F">
        <w:tc>
          <w:tcPr>
            <w:tcW w:w="805" w:type="dxa"/>
          </w:tcPr>
          <w:p w14:paraId="791863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37A6B54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Kingsburg, CA</w:t>
            </w:r>
          </w:p>
        </w:tc>
        <w:tc>
          <w:tcPr>
            <w:tcW w:w="1766" w:type="dxa"/>
          </w:tcPr>
          <w:p w14:paraId="118433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2.98</w:t>
            </w:r>
          </w:p>
        </w:tc>
        <w:tc>
          <w:tcPr>
            <w:tcW w:w="1930" w:type="dxa"/>
          </w:tcPr>
          <w:p w14:paraId="17B06BF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Mineola, TX</w:t>
            </w:r>
          </w:p>
        </w:tc>
        <w:tc>
          <w:tcPr>
            <w:tcW w:w="1602" w:type="dxa"/>
          </w:tcPr>
          <w:p w14:paraId="662A7A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3.20</w:t>
            </w:r>
          </w:p>
        </w:tc>
      </w:tr>
      <w:tr w:rsidR="00644B7D" w:rsidRPr="00335032" w14:paraId="54FAD9EB" w14:textId="77777777" w:rsidTr="00E7334F">
        <w:tc>
          <w:tcPr>
            <w:tcW w:w="805" w:type="dxa"/>
          </w:tcPr>
          <w:p w14:paraId="7DD5EA6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128D66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Tualatin, OR</w:t>
            </w:r>
          </w:p>
        </w:tc>
        <w:tc>
          <w:tcPr>
            <w:tcW w:w="1766" w:type="dxa"/>
          </w:tcPr>
          <w:p w14:paraId="55AD9F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2.96</w:t>
            </w:r>
          </w:p>
        </w:tc>
        <w:tc>
          <w:tcPr>
            <w:tcW w:w="1930" w:type="dxa"/>
          </w:tcPr>
          <w:p w14:paraId="00BDF0C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Calabasas, CA</w:t>
            </w:r>
          </w:p>
        </w:tc>
        <w:tc>
          <w:tcPr>
            <w:tcW w:w="1602" w:type="dxa"/>
          </w:tcPr>
          <w:p w14:paraId="11CBDD7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3.07</w:t>
            </w:r>
          </w:p>
        </w:tc>
      </w:tr>
      <w:tr w:rsidR="00644B7D" w:rsidRPr="00335032" w14:paraId="27B047D9" w14:textId="77777777" w:rsidTr="00E7334F">
        <w:tc>
          <w:tcPr>
            <w:tcW w:w="805" w:type="dxa"/>
          </w:tcPr>
          <w:p w14:paraId="3686F59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72892CB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Rohnert Park, CA</w:t>
            </w:r>
          </w:p>
        </w:tc>
        <w:tc>
          <w:tcPr>
            <w:tcW w:w="1766" w:type="dxa"/>
          </w:tcPr>
          <w:p w14:paraId="13869B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2.93</w:t>
            </w:r>
          </w:p>
        </w:tc>
        <w:tc>
          <w:tcPr>
            <w:tcW w:w="1930" w:type="dxa"/>
          </w:tcPr>
          <w:p w14:paraId="2E1181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Annapolis, MD</w:t>
            </w:r>
          </w:p>
        </w:tc>
        <w:tc>
          <w:tcPr>
            <w:tcW w:w="1602" w:type="dxa"/>
          </w:tcPr>
          <w:p w14:paraId="709BE51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3.03</w:t>
            </w:r>
          </w:p>
        </w:tc>
      </w:tr>
    </w:tbl>
    <w:p w14:paraId="0AF58A14" w14:textId="77777777" w:rsidR="00DA75FB" w:rsidRDefault="00DA75FB" w:rsidP="00DA75FB">
      <w:pPr>
        <w:spacing w:after="0" w:line="240" w:lineRule="auto"/>
        <w:rPr>
          <w:rFonts w:ascii="Times New Roman" w:eastAsia="Calibri" w:hAnsi="Times New Roman" w:cs="Times New Roman"/>
          <w:sz w:val="18"/>
          <w:szCs w:val="24"/>
        </w:rPr>
      </w:pPr>
    </w:p>
    <w:p w14:paraId="13779C21" w14:textId="6BE868E9" w:rsidR="00DA75FB" w:rsidRDefault="00DA75FB" w:rsidP="00DA75FB">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Note: </w:t>
      </w:r>
      <w:r>
        <w:rPr>
          <w:rFonts w:ascii="Times New Roman" w:eastAsia="Calibri" w:hAnsi="Times New Roman" w:cs="Times New Roman"/>
          <w:sz w:val="18"/>
          <w:szCs w:val="24"/>
        </w:rPr>
        <w:t xml:space="preserve">An earlier version of this table incorrectly labeled the final column values as ZRI. The final column values reflect WRLURI values. The updated table has been corrected. </w:t>
      </w:r>
    </w:p>
    <w:p w14:paraId="30C114FE" w14:textId="11AEC005" w:rsidR="00644B7D" w:rsidRDefault="00644B7D" w:rsidP="00644B7D">
      <w:pPr>
        <w:spacing w:after="0" w:line="480" w:lineRule="auto"/>
        <w:rPr>
          <w:rFonts w:ascii="Times New Roman" w:eastAsia="Calibri" w:hAnsi="Times New Roman" w:cs="Times New Roman"/>
          <w:b/>
          <w:sz w:val="24"/>
          <w:szCs w:val="24"/>
        </w:rPr>
      </w:pPr>
    </w:p>
    <w:p w14:paraId="78092FB1" w14:textId="77777777" w:rsidR="00DA75FB" w:rsidRPr="00335032" w:rsidRDefault="00DA75FB" w:rsidP="00644B7D">
      <w:pPr>
        <w:spacing w:after="0" w:line="480" w:lineRule="auto"/>
        <w:rPr>
          <w:rFonts w:ascii="Times New Roman" w:eastAsia="Calibri" w:hAnsi="Times New Roman" w:cs="Times New Roman"/>
          <w:b/>
          <w:sz w:val="24"/>
          <w:szCs w:val="24"/>
        </w:rPr>
      </w:pPr>
    </w:p>
    <w:p w14:paraId="7A4F20D9" w14:textId="77777777" w:rsidR="00644B7D" w:rsidRPr="00335032" w:rsidRDefault="00644B7D" w:rsidP="00644B7D">
      <w:pPr>
        <w:spacing w:after="0" w:line="480" w:lineRule="auto"/>
        <w:rPr>
          <w:rFonts w:ascii="Times New Roman" w:eastAsia="Calibri" w:hAnsi="Times New Roman" w:cs="Times New Roman"/>
          <w:b/>
          <w:sz w:val="24"/>
          <w:szCs w:val="24"/>
        </w:rPr>
      </w:pPr>
    </w:p>
    <w:p w14:paraId="48AC1719" w14:textId="77777777" w:rsidR="00644B7D" w:rsidRPr="00335032" w:rsidRDefault="00644B7D" w:rsidP="00644B7D">
      <w:pPr>
        <w:spacing w:after="0" w:line="240" w:lineRule="auto"/>
        <w:rPr>
          <w:rFonts w:ascii="Times New Roman" w:eastAsia="Calibri" w:hAnsi="Times New Roman" w:cs="Times New Roman"/>
          <w:b/>
          <w:sz w:val="24"/>
          <w:szCs w:val="24"/>
        </w:rPr>
      </w:pPr>
    </w:p>
    <w:p w14:paraId="0CFEF413" w14:textId="77777777" w:rsidR="00644B7D" w:rsidRPr="00335032" w:rsidRDefault="00644B7D" w:rsidP="00644B7D">
      <w:pPr>
        <w:spacing w:after="0" w:line="240" w:lineRule="auto"/>
        <w:rPr>
          <w:rFonts w:ascii="Times New Roman" w:eastAsia="Calibri" w:hAnsi="Times New Roman" w:cs="Times New Roman"/>
          <w:b/>
          <w:sz w:val="24"/>
          <w:szCs w:val="24"/>
        </w:rPr>
      </w:pPr>
    </w:p>
    <w:p w14:paraId="2BE63626"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B820F4" w14:textId="77777777" w:rsidR="00644B7D" w:rsidRPr="00335032" w:rsidRDefault="00644B7D" w:rsidP="00644B7D">
      <w:pPr>
        <w:spacing w:after="0" w:line="240" w:lineRule="auto"/>
        <w:rPr>
          <w:rFonts w:ascii="Times New Roman" w:eastAsia="Calibri" w:hAnsi="Times New Roman" w:cs="Times New Roman"/>
          <w:b/>
          <w:sz w:val="24"/>
          <w:szCs w:val="24"/>
        </w:rPr>
      </w:pPr>
    </w:p>
    <w:p w14:paraId="67D4FF9D" w14:textId="77777777" w:rsidR="00644B7D" w:rsidRPr="00335032" w:rsidRDefault="00644B7D" w:rsidP="00644B7D">
      <w:pPr>
        <w:spacing w:after="0" w:line="240" w:lineRule="auto"/>
        <w:rPr>
          <w:rFonts w:ascii="Times New Roman" w:eastAsia="Calibri" w:hAnsi="Times New Roman" w:cs="Times New Roman"/>
          <w:b/>
          <w:sz w:val="24"/>
          <w:szCs w:val="24"/>
        </w:rPr>
      </w:pPr>
    </w:p>
    <w:p w14:paraId="715F151B" w14:textId="77777777" w:rsidR="00644B7D" w:rsidRPr="00335032" w:rsidRDefault="00644B7D" w:rsidP="00644B7D">
      <w:pPr>
        <w:spacing w:after="0" w:line="240" w:lineRule="auto"/>
        <w:rPr>
          <w:rFonts w:ascii="Times New Roman" w:eastAsia="Calibri" w:hAnsi="Times New Roman" w:cs="Times New Roman"/>
          <w:b/>
          <w:sz w:val="24"/>
          <w:szCs w:val="24"/>
        </w:rPr>
      </w:pPr>
    </w:p>
    <w:p w14:paraId="67B99C4D" w14:textId="77777777" w:rsidR="00644B7D" w:rsidRPr="00335032" w:rsidRDefault="00644B7D" w:rsidP="00644B7D">
      <w:pPr>
        <w:spacing w:after="0" w:line="240" w:lineRule="auto"/>
        <w:rPr>
          <w:rFonts w:ascii="Times New Roman" w:eastAsia="Calibri" w:hAnsi="Times New Roman" w:cs="Times New Roman"/>
          <w:b/>
          <w:sz w:val="24"/>
          <w:szCs w:val="24"/>
        </w:rPr>
      </w:pPr>
    </w:p>
    <w:p w14:paraId="56AE1A9A" w14:textId="77777777" w:rsidR="00644B7D" w:rsidRPr="00335032" w:rsidRDefault="00644B7D" w:rsidP="00644B7D">
      <w:pPr>
        <w:spacing w:after="0" w:line="240" w:lineRule="auto"/>
        <w:rPr>
          <w:rFonts w:ascii="Times New Roman" w:eastAsia="Calibri" w:hAnsi="Times New Roman" w:cs="Times New Roman"/>
          <w:b/>
          <w:sz w:val="24"/>
          <w:szCs w:val="24"/>
        </w:rPr>
      </w:pPr>
    </w:p>
    <w:p w14:paraId="703F5D9C" w14:textId="77777777" w:rsidR="00644B7D" w:rsidRPr="00335032" w:rsidRDefault="00644B7D" w:rsidP="00644B7D">
      <w:pPr>
        <w:spacing w:after="0" w:line="240" w:lineRule="auto"/>
        <w:rPr>
          <w:rFonts w:ascii="Times New Roman" w:eastAsia="Calibri" w:hAnsi="Times New Roman" w:cs="Times New Roman"/>
          <w:b/>
          <w:sz w:val="24"/>
          <w:szCs w:val="24"/>
        </w:rPr>
      </w:pPr>
    </w:p>
    <w:p w14:paraId="49F71771" w14:textId="77777777" w:rsidR="00644B7D" w:rsidRPr="00335032" w:rsidRDefault="00644B7D" w:rsidP="00644B7D">
      <w:pPr>
        <w:spacing w:after="0" w:line="240" w:lineRule="auto"/>
        <w:rPr>
          <w:rFonts w:ascii="Times New Roman" w:eastAsia="Calibri" w:hAnsi="Times New Roman" w:cs="Times New Roman"/>
          <w:b/>
          <w:sz w:val="24"/>
          <w:szCs w:val="24"/>
        </w:rPr>
      </w:pPr>
    </w:p>
    <w:p w14:paraId="274B27F0" w14:textId="77777777" w:rsidR="00644B7D" w:rsidRPr="00335032" w:rsidRDefault="00644B7D" w:rsidP="00644B7D">
      <w:pPr>
        <w:spacing w:after="0" w:line="240" w:lineRule="auto"/>
        <w:rPr>
          <w:rFonts w:ascii="Times New Roman" w:eastAsia="Calibri" w:hAnsi="Times New Roman" w:cs="Times New Roman"/>
          <w:b/>
          <w:sz w:val="24"/>
          <w:szCs w:val="24"/>
        </w:rPr>
      </w:pPr>
    </w:p>
    <w:p w14:paraId="0947EC85" w14:textId="77777777" w:rsidR="00644B7D" w:rsidRPr="00335032" w:rsidRDefault="00644B7D" w:rsidP="00644B7D">
      <w:pPr>
        <w:spacing w:after="0" w:line="240" w:lineRule="auto"/>
        <w:rPr>
          <w:rFonts w:ascii="Times New Roman" w:eastAsia="Calibri" w:hAnsi="Times New Roman" w:cs="Times New Roman"/>
          <w:b/>
          <w:sz w:val="24"/>
          <w:szCs w:val="24"/>
        </w:rPr>
      </w:pPr>
    </w:p>
    <w:p w14:paraId="274964FD" w14:textId="77777777" w:rsidR="00644B7D" w:rsidRPr="00335032" w:rsidRDefault="00644B7D" w:rsidP="00644B7D">
      <w:pPr>
        <w:spacing w:after="0" w:line="240" w:lineRule="auto"/>
        <w:rPr>
          <w:rFonts w:ascii="Times New Roman" w:eastAsia="Calibri" w:hAnsi="Times New Roman" w:cs="Times New Roman"/>
          <w:b/>
          <w:sz w:val="24"/>
          <w:szCs w:val="24"/>
        </w:rPr>
      </w:pPr>
    </w:p>
    <w:p w14:paraId="45B3FA01" w14:textId="77777777" w:rsidR="00644B7D" w:rsidRPr="00335032" w:rsidRDefault="00644B7D" w:rsidP="00644B7D">
      <w:pPr>
        <w:spacing w:after="0" w:line="240" w:lineRule="auto"/>
        <w:rPr>
          <w:rFonts w:ascii="Times New Roman" w:eastAsia="Calibri" w:hAnsi="Times New Roman" w:cs="Times New Roman"/>
          <w:b/>
          <w:sz w:val="24"/>
          <w:szCs w:val="24"/>
        </w:rPr>
      </w:pPr>
    </w:p>
    <w:p w14:paraId="248AC5C4" w14:textId="77777777" w:rsidR="00644B7D" w:rsidRPr="00335032" w:rsidRDefault="00644B7D" w:rsidP="00644B7D">
      <w:pPr>
        <w:spacing w:after="0" w:line="240" w:lineRule="auto"/>
        <w:rPr>
          <w:rFonts w:ascii="Times New Roman" w:eastAsia="Calibri" w:hAnsi="Times New Roman" w:cs="Times New Roman"/>
          <w:b/>
          <w:sz w:val="24"/>
          <w:szCs w:val="24"/>
        </w:rPr>
      </w:pPr>
    </w:p>
    <w:p w14:paraId="7AD1BC07" w14:textId="77777777" w:rsidR="00644B7D" w:rsidRPr="00335032" w:rsidRDefault="00644B7D" w:rsidP="00644B7D">
      <w:pPr>
        <w:spacing w:after="0" w:line="240" w:lineRule="auto"/>
        <w:rPr>
          <w:rFonts w:ascii="Times New Roman" w:eastAsia="Calibri" w:hAnsi="Times New Roman" w:cs="Times New Roman"/>
          <w:b/>
          <w:sz w:val="24"/>
          <w:szCs w:val="24"/>
        </w:rPr>
      </w:pPr>
    </w:p>
    <w:p w14:paraId="5B2751DA" w14:textId="77777777" w:rsidR="00644B7D" w:rsidRPr="00335032" w:rsidRDefault="00644B7D" w:rsidP="00644B7D">
      <w:pPr>
        <w:spacing w:after="0" w:line="240" w:lineRule="auto"/>
        <w:rPr>
          <w:rFonts w:ascii="Times New Roman" w:eastAsia="Calibri" w:hAnsi="Times New Roman" w:cs="Times New Roman"/>
          <w:b/>
          <w:sz w:val="24"/>
          <w:szCs w:val="24"/>
        </w:rPr>
      </w:pPr>
    </w:p>
    <w:p w14:paraId="4001942D" w14:textId="77777777" w:rsidR="001140C0" w:rsidRPr="00335032" w:rsidRDefault="001140C0" w:rsidP="00644B7D">
      <w:pPr>
        <w:spacing w:after="0" w:line="240" w:lineRule="auto"/>
        <w:rPr>
          <w:rFonts w:ascii="Times New Roman" w:eastAsia="Calibri" w:hAnsi="Times New Roman" w:cs="Times New Roman"/>
          <w:b/>
          <w:sz w:val="24"/>
          <w:szCs w:val="24"/>
        </w:rPr>
      </w:pPr>
    </w:p>
    <w:p w14:paraId="3068F8F0" w14:textId="77777777" w:rsidR="001140C0" w:rsidRPr="00335032" w:rsidRDefault="001140C0" w:rsidP="00644B7D">
      <w:pPr>
        <w:spacing w:after="0" w:line="240" w:lineRule="auto"/>
        <w:rPr>
          <w:rFonts w:ascii="Times New Roman" w:eastAsia="Calibri" w:hAnsi="Times New Roman" w:cs="Times New Roman"/>
          <w:b/>
          <w:sz w:val="24"/>
          <w:szCs w:val="24"/>
        </w:rPr>
      </w:pPr>
    </w:p>
    <w:p w14:paraId="4532B921" w14:textId="77777777" w:rsidR="001140C0" w:rsidRPr="00335032" w:rsidRDefault="001140C0" w:rsidP="00644B7D">
      <w:pPr>
        <w:spacing w:after="0" w:line="240" w:lineRule="auto"/>
        <w:rPr>
          <w:rFonts w:ascii="Times New Roman" w:eastAsia="Calibri" w:hAnsi="Times New Roman" w:cs="Times New Roman"/>
          <w:b/>
          <w:sz w:val="24"/>
          <w:szCs w:val="24"/>
        </w:rPr>
      </w:pPr>
    </w:p>
    <w:p w14:paraId="60EEB08D" w14:textId="77777777" w:rsidR="001140C0" w:rsidRPr="00335032" w:rsidRDefault="001140C0" w:rsidP="00644B7D">
      <w:pPr>
        <w:spacing w:after="0" w:line="240" w:lineRule="auto"/>
        <w:rPr>
          <w:rFonts w:ascii="Times New Roman" w:eastAsia="Calibri" w:hAnsi="Times New Roman" w:cs="Times New Roman"/>
          <w:b/>
          <w:sz w:val="24"/>
          <w:szCs w:val="24"/>
        </w:rPr>
      </w:pPr>
    </w:p>
    <w:p w14:paraId="27B93730" w14:textId="77777777" w:rsidR="001140C0" w:rsidRPr="00335032" w:rsidRDefault="001140C0" w:rsidP="00644B7D">
      <w:pPr>
        <w:spacing w:after="0" w:line="240" w:lineRule="auto"/>
        <w:rPr>
          <w:rFonts w:ascii="Times New Roman" w:eastAsia="Calibri" w:hAnsi="Times New Roman" w:cs="Times New Roman"/>
          <w:b/>
          <w:sz w:val="24"/>
          <w:szCs w:val="24"/>
        </w:rPr>
      </w:pPr>
    </w:p>
    <w:p w14:paraId="61FD23FB" w14:textId="77777777" w:rsidR="001140C0" w:rsidRPr="00335032" w:rsidRDefault="001140C0" w:rsidP="00644B7D">
      <w:pPr>
        <w:spacing w:after="0" w:line="240" w:lineRule="auto"/>
        <w:rPr>
          <w:rFonts w:ascii="Times New Roman" w:eastAsia="Calibri" w:hAnsi="Times New Roman" w:cs="Times New Roman"/>
          <w:b/>
          <w:sz w:val="24"/>
          <w:szCs w:val="24"/>
        </w:rPr>
      </w:pPr>
    </w:p>
    <w:p w14:paraId="474532D0" w14:textId="77777777" w:rsidR="001140C0" w:rsidRPr="00335032" w:rsidRDefault="001140C0" w:rsidP="00644B7D">
      <w:pPr>
        <w:spacing w:after="0" w:line="240" w:lineRule="auto"/>
        <w:rPr>
          <w:rFonts w:ascii="Times New Roman" w:eastAsia="Calibri" w:hAnsi="Times New Roman" w:cs="Times New Roman"/>
          <w:b/>
          <w:sz w:val="24"/>
          <w:szCs w:val="24"/>
        </w:rPr>
      </w:pPr>
    </w:p>
    <w:p w14:paraId="67722E4E" w14:textId="00C95818"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S12.</w:t>
      </w:r>
      <w:r w:rsidRPr="00335032">
        <w:rPr>
          <w:rFonts w:ascii="Times New Roman" w:eastAsia="Calibri" w:hAnsi="Times New Roman" w:cs="Times New Roman"/>
          <w:sz w:val="24"/>
          <w:szCs w:val="24"/>
        </w:rPr>
        <w:t xml:space="preserve"> Comparison of most restrictive municipalities among municipalities in National Zoning and Land Use Database, Wharton Residential Land Use Regulatory Index 2018 and National Longitudinal Land Use Survey 2019 samples</w:t>
      </w:r>
    </w:p>
    <w:p w14:paraId="2267662A" w14:textId="77777777" w:rsidR="00644B7D" w:rsidRPr="00335032" w:rsidRDefault="00644B7D" w:rsidP="00644B7D">
      <w:pPr>
        <w:spacing w:after="0" w:line="480" w:lineRule="auto"/>
        <w:rPr>
          <w:rFonts w:ascii="Times New Roman" w:eastAsia="Calibri" w:hAnsi="Times New Roman" w:cs="Times New Roman"/>
          <w:b/>
          <w:sz w:val="24"/>
          <w:szCs w:val="24"/>
        </w:rPr>
      </w:pPr>
    </w:p>
    <w:tbl>
      <w:tblPr>
        <w:tblStyle w:val="TableGrid"/>
        <w:tblW w:w="0" w:type="auto"/>
        <w:tblLook w:val="04A0" w:firstRow="1" w:lastRow="0" w:firstColumn="1" w:lastColumn="0" w:noHBand="0" w:noVBand="1"/>
      </w:tblPr>
      <w:tblGrid>
        <w:gridCol w:w="805"/>
        <w:gridCol w:w="2699"/>
        <w:gridCol w:w="1766"/>
        <w:gridCol w:w="1930"/>
        <w:gridCol w:w="1602"/>
      </w:tblGrid>
      <w:tr w:rsidR="00644B7D" w:rsidRPr="00335032" w14:paraId="358E7B48" w14:textId="77777777" w:rsidTr="00E7334F">
        <w:tc>
          <w:tcPr>
            <w:tcW w:w="805" w:type="dxa"/>
          </w:tcPr>
          <w:p w14:paraId="73C72E7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7" w:type="dxa"/>
            <w:gridSpan w:val="4"/>
          </w:tcPr>
          <w:p w14:paraId="3B4DDFC6"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across all samples</w:t>
            </w:r>
          </w:p>
        </w:tc>
      </w:tr>
      <w:tr w:rsidR="00644B7D" w:rsidRPr="00335032" w14:paraId="7CC1CC1B" w14:textId="77777777" w:rsidTr="00E7334F">
        <w:tc>
          <w:tcPr>
            <w:tcW w:w="805" w:type="dxa"/>
          </w:tcPr>
          <w:p w14:paraId="361C5685"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782FEC3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values (N=242)</w:t>
            </w:r>
          </w:p>
        </w:tc>
        <w:tc>
          <w:tcPr>
            <w:tcW w:w="3532" w:type="dxa"/>
            <w:gridSpan w:val="2"/>
          </w:tcPr>
          <w:p w14:paraId="61866A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w:t>
            </w:r>
            <w:r w:rsidRPr="00335032">
              <w:rPr>
                <w:rFonts w:ascii="Calibri" w:eastAsia="Calibri" w:hAnsi="Calibri" w:cs="Times New Roman"/>
              </w:rPr>
              <w:t xml:space="preserve"> </w:t>
            </w:r>
            <w:r w:rsidRPr="00335032">
              <w:rPr>
                <w:rFonts w:ascii="Times New Roman" w:eastAsia="Calibri" w:hAnsi="Times New Roman" w:cs="Times New Roman"/>
                <w:sz w:val="18"/>
                <w:szCs w:val="24"/>
              </w:rPr>
              <w:t>National Longitudinal Land Use Survey 2019 values (N=242)</w:t>
            </w:r>
          </w:p>
        </w:tc>
      </w:tr>
      <w:tr w:rsidR="00644B7D" w:rsidRPr="00335032" w14:paraId="250B7C46" w14:textId="77777777" w:rsidTr="00E7334F">
        <w:tc>
          <w:tcPr>
            <w:tcW w:w="805" w:type="dxa"/>
          </w:tcPr>
          <w:p w14:paraId="31C0343A" w14:textId="77777777" w:rsidR="00644B7D" w:rsidRPr="00335032" w:rsidRDefault="00644B7D" w:rsidP="00644B7D">
            <w:pPr>
              <w:rPr>
                <w:rFonts w:ascii="Times New Roman" w:eastAsia="Calibri" w:hAnsi="Times New Roman" w:cs="Times New Roman"/>
                <w:sz w:val="18"/>
                <w:szCs w:val="24"/>
              </w:rPr>
            </w:pPr>
          </w:p>
        </w:tc>
        <w:tc>
          <w:tcPr>
            <w:tcW w:w="2699" w:type="dxa"/>
          </w:tcPr>
          <w:p w14:paraId="35A057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63565A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02CD407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2" w:type="dxa"/>
          </w:tcPr>
          <w:p w14:paraId="172FEFB4" w14:textId="051B4014" w:rsidR="00644B7D" w:rsidRPr="00335032" w:rsidRDefault="00DA75FB"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 (parallel)</w:t>
            </w:r>
          </w:p>
        </w:tc>
      </w:tr>
      <w:tr w:rsidR="00644B7D" w:rsidRPr="00335032" w14:paraId="253463A0" w14:textId="77777777" w:rsidTr="00E7334F">
        <w:tc>
          <w:tcPr>
            <w:tcW w:w="805" w:type="dxa"/>
          </w:tcPr>
          <w:p w14:paraId="44AB568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7C2375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Windsor, NJ</w:t>
            </w:r>
          </w:p>
        </w:tc>
        <w:tc>
          <w:tcPr>
            <w:tcW w:w="1766" w:type="dxa"/>
          </w:tcPr>
          <w:p w14:paraId="77681D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3.19</w:t>
            </w:r>
          </w:p>
        </w:tc>
        <w:tc>
          <w:tcPr>
            <w:tcW w:w="1930" w:type="dxa"/>
          </w:tcPr>
          <w:p w14:paraId="7045D18D" w14:textId="61266215" w:rsidR="00644B7D" w:rsidRPr="00335032" w:rsidRDefault="003C5515" w:rsidP="00644B7D">
            <w:pPr>
              <w:rPr>
                <w:rFonts w:ascii="Times New Roman" w:eastAsia="Calibri" w:hAnsi="Times New Roman" w:cs="Times New Roman"/>
                <w:sz w:val="18"/>
                <w:szCs w:val="24"/>
              </w:rPr>
            </w:pPr>
            <w:r>
              <w:rPr>
                <w:rFonts w:ascii="Times New Roman" w:eastAsia="Calibri" w:hAnsi="Times New Roman" w:cs="Times New Roman"/>
                <w:sz w:val="18"/>
                <w:szCs w:val="24"/>
              </w:rPr>
              <w:t>Burien, WA</w:t>
            </w:r>
          </w:p>
        </w:tc>
        <w:tc>
          <w:tcPr>
            <w:tcW w:w="1602" w:type="dxa"/>
          </w:tcPr>
          <w:p w14:paraId="4184F83F" w14:textId="4B74526A"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2.01</w:t>
            </w:r>
          </w:p>
        </w:tc>
      </w:tr>
      <w:tr w:rsidR="00644B7D" w:rsidRPr="00335032" w14:paraId="25C2CE44" w14:textId="77777777" w:rsidTr="00E7334F">
        <w:tc>
          <w:tcPr>
            <w:tcW w:w="805" w:type="dxa"/>
          </w:tcPr>
          <w:p w14:paraId="65DEC9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2EEC599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Rohnert Park, CA</w:t>
            </w:r>
          </w:p>
        </w:tc>
        <w:tc>
          <w:tcPr>
            <w:tcW w:w="1766" w:type="dxa"/>
          </w:tcPr>
          <w:p w14:paraId="3C363BA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2.69</w:t>
            </w:r>
          </w:p>
        </w:tc>
        <w:tc>
          <w:tcPr>
            <w:tcW w:w="1930" w:type="dxa"/>
          </w:tcPr>
          <w:p w14:paraId="079BD6FB" w14:textId="1F456677"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Decatur, GA</w:t>
            </w:r>
          </w:p>
        </w:tc>
        <w:tc>
          <w:tcPr>
            <w:tcW w:w="1602" w:type="dxa"/>
          </w:tcPr>
          <w:p w14:paraId="00931615" w14:textId="4D3D4975"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6F2DB2E5" w14:textId="77777777" w:rsidTr="00E7334F">
        <w:tc>
          <w:tcPr>
            <w:tcW w:w="805" w:type="dxa"/>
          </w:tcPr>
          <w:p w14:paraId="3D6FC7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044E9C7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Portsmouth, RI</w:t>
            </w:r>
          </w:p>
        </w:tc>
        <w:tc>
          <w:tcPr>
            <w:tcW w:w="1766" w:type="dxa"/>
          </w:tcPr>
          <w:p w14:paraId="56D5CB6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2.36</w:t>
            </w:r>
          </w:p>
        </w:tc>
        <w:tc>
          <w:tcPr>
            <w:tcW w:w="1930" w:type="dxa"/>
          </w:tcPr>
          <w:p w14:paraId="62E8715A" w14:textId="222EE92B"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Andover, MA</w:t>
            </w:r>
          </w:p>
        </w:tc>
        <w:tc>
          <w:tcPr>
            <w:tcW w:w="1602" w:type="dxa"/>
          </w:tcPr>
          <w:p w14:paraId="0A51621D" w14:textId="317A58B5"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00EC77D9" w14:textId="77777777" w:rsidTr="00E7334F">
        <w:tc>
          <w:tcPr>
            <w:tcW w:w="805" w:type="dxa"/>
          </w:tcPr>
          <w:p w14:paraId="4734FC8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56C841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Brentwood, CA</w:t>
            </w:r>
          </w:p>
        </w:tc>
        <w:tc>
          <w:tcPr>
            <w:tcW w:w="1766" w:type="dxa"/>
          </w:tcPr>
          <w:p w14:paraId="5B8874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2.21</w:t>
            </w:r>
          </w:p>
        </w:tc>
        <w:tc>
          <w:tcPr>
            <w:tcW w:w="1930" w:type="dxa"/>
          </w:tcPr>
          <w:p w14:paraId="1CE19366" w14:textId="3B60AF46"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Everett, WA</w:t>
            </w:r>
          </w:p>
        </w:tc>
        <w:tc>
          <w:tcPr>
            <w:tcW w:w="1602" w:type="dxa"/>
          </w:tcPr>
          <w:p w14:paraId="14E06E19" w14:textId="4BF56380"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35D06FE6" w14:textId="77777777" w:rsidTr="00E7334F">
        <w:tc>
          <w:tcPr>
            <w:tcW w:w="805" w:type="dxa"/>
          </w:tcPr>
          <w:p w14:paraId="0ABE6D3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467199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Winston-Salem, NC</w:t>
            </w:r>
          </w:p>
        </w:tc>
        <w:tc>
          <w:tcPr>
            <w:tcW w:w="1766" w:type="dxa"/>
          </w:tcPr>
          <w:p w14:paraId="0F27F34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2.02</w:t>
            </w:r>
          </w:p>
        </w:tc>
        <w:tc>
          <w:tcPr>
            <w:tcW w:w="1930" w:type="dxa"/>
          </w:tcPr>
          <w:p w14:paraId="0AAC0FD5" w14:textId="5C9F3584"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Mercer Island, WA</w:t>
            </w:r>
          </w:p>
        </w:tc>
        <w:tc>
          <w:tcPr>
            <w:tcW w:w="1602" w:type="dxa"/>
          </w:tcPr>
          <w:p w14:paraId="05E82497" w14:textId="133B11CF"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2F9461E9" w14:textId="77777777" w:rsidTr="00E7334F">
        <w:tc>
          <w:tcPr>
            <w:tcW w:w="805" w:type="dxa"/>
          </w:tcPr>
          <w:p w14:paraId="1861A97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75AFFF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Issaquah, WA</w:t>
            </w:r>
          </w:p>
        </w:tc>
        <w:tc>
          <w:tcPr>
            <w:tcW w:w="1766" w:type="dxa"/>
          </w:tcPr>
          <w:p w14:paraId="7BEC51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1.88</w:t>
            </w:r>
          </w:p>
        </w:tc>
        <w:tc>
          <w:tcPr>
            <w:tcW w:w="1930" w:type="dxa"/>
          </w:tcPr>
          <w:p w14:paraId="3408A770" w14:textId="74229FE9"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University Place, WA</w:t>
            </w:r>
          </w:p>
        </w:tc>
        <w:tc>
          <w:tcPr>
            <w:tcW w:w="1602" w:type="dxa"/>
          </w:tcPr>
          <w:p w14:paraId="4B0C3D31" w14:textId="6AA7FD9F"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4505F13E" w14:textId="77777777" w:rsidTr="00E7334F">
        <w:tc>
          <w:tcPr>
            <w:tcW w:w="805" w:type="dxa"/>
          </w:tcPr>
          <w:p w14:paraId="6A7CEAB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5544EB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Palm Desert, CA</w:t>
            </w:r>
          </w:p>
        </w:tc>
        <w:tc>
          <w:tcPr>
            <w:tcW w:w="1766" w:type="dxa"/>
          </w:tcPr>
          <w:p w14:paraId="4FF9847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325BE562" w14:textId="09DCDAF5"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Euless, TX</w:t>
            </w:r>
          </w:p>
        </w:tc>
        <w:tc>
          <w:tcPr>
            <w:tcW w:w="1602" w:type="dxa"/>
          </w:tcPr>
          <w:p w14:paraId="0A7BA8C3" w14:textId="1B53EF62"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1.79</w:t>
            </w:r>
          </w:p>
        </w:tc>
      </w:tr>
      <w:tr w:rsidR="00644B7D" w:rsidRPr="00335032" w14:paraId="03B1AD91" w14:textId="77777777" w:rsidTr="00E7334F">
        <w:tc>
          <w:tcPr>
            <w:tcW w:w="805" w:type="dxa"/>
          </w:tcPr>
          <w:p w14:paraId="1004BE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210937F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Riverside, CA</w:t>
            </w:r>
          </w:p>
        </w:tc>
        <w:tc>
          <w:tcPr>
            <w:tcW w:w="1766" w:type="dxa"/>
          </w:tcPr>
          <w:p w14:paraId="79B470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A5ADDB3" w14:textId="2DD135DA"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Portland, OR</w:t>
            </w:r>
          </w:p>
        </w:tc>
        <w:tc>
          <w:tcPr>
            <w:tcW w:w="1602" w:type="dxa"/>
          </w:tcPr>
          <w:p w14:paraId="2AF7E8FB" w14:textId="5EF5352A"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1.67</w:t>
            </w:r>
          </w:p>
        </w:tc>
      </w:tr>
      <w:tr w:rsidR="00644B7D" w:rsidRPr="00335032" w14:paraId="73A46B95" w14:textId="77777777" w:rsidTr="00E7334F">
        <w:tc>
          <w:tcPr>
            <w:tcW w:w="805" w:type="dxa"/>
          </w:tcPr>
          <w:p w14:paraId="525C58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3BCE96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Ramon, CA</w:t>
            </w:r>
          </w:p>
        </w:tc>
        <w:tc>
          <w:tcPr>
            <w:tcW w:w="1766" w:type="dxa"/>
          </w:tcPr>
          <w:p w14:paraId="7F5FA77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3A8A7A0" w14:textId="2E9C1ED7"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Arcadia, CA</w:t>
            </w:r>
          </w:p>
        </w:tc>
        <w:tc>
          <w:tcPr>
            <w:tcW w:w="1602" w:type="dxa"/>
          </w:tcPr>
          <w:p w14:paraId="48335082" w14:textId="0DB857EB"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1.65</w:t>
            </w:r>
          </w:p>
        </w:tc>
      </w:tr>
      <w:tr w:rsidR="00644B7D" w:rsidRPr="00335032" w14:paraId="7181DBB6" w14:textId="77777777" w:rsidTr="00E7334F">
        <w:tc>
          <w:tcPr>
            <w:tcW w:w="805" w:type="dxa"/>
          </w:tcPr>
          <w:p w14:paraId="05C0239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372270C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Kansas City, MO</w:t>
            </w:r>
          </w:p>
        </w:tc>
        <w:tc>
          <w:tcPr>
            <w:tcW w:w="1766" w:type="dxa"/>
          </w:tcPr>
          <w:p w14:paraId="3F4D9E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FC44393" w14:textId="33118CC7"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Carson, CA</w:t>
            </w:r>
          </w:p>
        </w:tc>
        <w:tc>
          <w:tcPr>
            <w:tcW w:w="1602" w:type="dxa"/>
          </w:tcPr>
          <w:p w14:paraId="47610ECE" w14:textId="297EC126"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1.60</w:t>
            </w:r>
          </w:p>
        </w:tc>
      </w:tr>
    </w:tbl>
    <w:p w14:paraId="1DD6BE05" w14:textId="77777777" w:rsidR="00644B7D" w:rsidRPr="00335032" w:rsidRDefault="00644B7D" w:rsidP="00644B7D">
      <w:pPr>
        <w:spacing w:after="0" w:line="240" w:lineRule="auto"/>
        <w:rPr>
          <w:rFonts w:ascii="Times New Roman" w:eastAsia="Calibri" w:hAnsi="Times New Roman" w:cs="Times New Roman"/>
          <w:sz w:val="18"/>
          <w:szCs w:val="24"/>
        </w:rPr>
      </w:pPr>
    </w:p>
    <w:p w14:paraId="4292DD15" w14:textId="77777777" w:rsidR="003C5515"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w:t>
      </w:r>
      <w:r w:rsidR="003C5515">
        <w:rPr>
          <w:rFonts w:ascii="Times New Roman" w:eastAsia="Calibri" w:hAnsi="Times New Roman" w:cs="Times New Roman"/>
          <w:sz w:val="18"/>
          <w:szCs w:val="24"/>
        </w:rPr>
        <w:t>s</w:t>
      </w:r>
      <w:r w:rsidRPr="00335032">
        <w:rPr>
          <w:rFonts w:ascii="Times New Roman" w:eastAsia="Calibri" w:hAnsi="Times New Roman" w:cs="Times New Roman"/>
          <w:sz w:val="18"/>
          <w:szCs w:val="24"/>
        </w:rPr>
        <w:t xml:space="preserve">: </w:t>
      </w:r>
    </w:p>
    <w:p w14:paraId="524484AE" w14:textId="2560710A" w:rsidR="00644B7D" w:rsidRDefault="00644B7D" w:rsidP="003C5515">
      <w:pPr>
        <w:pStyle w:val="ListParagraph"/>
        <w:numPr>
          <w:ilvl w:val="0"/>
          <w:numId w:val="6"/>
        </w:numPr>
        <w:spacing w:line="240" w:lineRule="auto"/>
        <w:rPr>
          <w:rFonts w:ascii="Times New Roman" w:eastAsia="Calibri" w:hAnsi="Times New Roman" w:cs="Times New Roman"/>
          <w:sz w:val="18"/>
          <w:szCs w:val="24"/>
        </w:rPr>
      </w:pPr>
      <w:r w:rsidRPr="003C5515">
        <w:rPr>
          <w:rFonts w:ascii="Times New Roman" w:eastAsia="Calibri" w:hAnsi="Times New Roman" w:cs="Times New Roman"/>
          <w:sz w:val="18"/>
          <w:szCs w:val="24"/>
        </w:rPr>
        <w:t>The ZRI scores for these samples are slightly different since the index (and its parallel index with Wharton Residential Land Use Regulatory Index 2018 and National Longitudinal Land Use Survey 2019 values) was constructed amongst samples that are subsets of the full NZLUD and Wharton Residential Land Use Regulatory Index /National Longitudinal Land Use Survey samples.</w:t>
      </w:r>
    </w:p>
    <w:p w14:paraId="7FDD52E9" w14:textId="6768648A" w:rsidR="003C5515" w:rsidRPr="003C5515" w:rsidRDefault="003C5515" w:rsidP="003C5515">
      <w:pPr>
        <w:pStyle w:val="ListParagraph"/>
        <w:numPr>
          <w:ilvl w:val="0"/>
          <w:numId w:val="6"/>
        </w:numPr>
        <w:spacing w:line="240" w:lineRule="auto"/>
        <w:rPr>
          <w:rFonts w:ascii="Times New Roman" w:eastAsia="Calibri" w:hAnsi="Times New Roman" w:cs="Times New Roman"/>
          <w:sz w:val="18"/>
          <w:szCs w:val="24"/>
        </w:rPr>
      </w:pPr>
      <w:r>
        <w:rPr>
          <w:rFonts w:ascii="Times New Roman" w:eastAsia="Calibri" w:hAnsi="Times New Roman" w:cs="Times New Roman"/>
          <w:sz w:val="18"/>
          <w:szCs w:val="24"/>
        </w:rPr>
        <w:t xml:space="preserve">An earlier version of this table reflected an error in calculating the </w:t>
      </w:r>
      <w:r w:rsidR="00502F4E">
        <w:rPr>
          <w:rFonts w:ascii="Times New Roman" w:eastAsia="Calibri" w:hAnsi="Times New Roman" w:cs="Times New Roman"/>
          <w:sz w:val="18"/>
          <w:szCs w:val="24"/>
        </w:rPr>
        <w:t xml:space="preserve">parallel </w:t>
      </w:r>
      <w:r>
        <w:rPr>
          <w:rFonts w:ascii="Times New Roman" w:eastAsia="Calibri" w:hAnsi="Times New Roman" w:cs="Times New Roman"/>
          <w:sz w:val="18"/>
          <w:szCs w:val="24"/>
        </w:rPr>
        <w:t xml:space="preserve">ZRI values for the comparison sample (final two columns). The updated table has been corrected. </w:t>
      </w:r>
    </w:p>
    <w:p w14:paraId="29A2F043"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E80724"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66D0E2" w14:textId="77777777" w:rsidR="00644B7D" w:rsidRPr="00335032" w:rsidRDefault="00644B7D" w:rsidP="00644B7D">
      <w:pPr>
        <w:spacing w:after="0" w:line="480" w:lineRule="auto"/>
        <w:rPr>
          <w:rFonts w:ascii="Times New Roman" w:eastAsia="Calibri" w:hAnsi="Times New Roman" w:cs="Times New Roman"/>
          <w:b/>
          <w:sz w:val="24"/>
          <w:szCs w:val="24"/>
        </w:rPr>
      </w:pPr>
    </w:p>
    <w:p w14:paraId="1D686205" w14:textId="77777777" w:rsidR="00644B7D" w:rsidRPr="00335032" w:rsidRDefault="00644B7D" w:rsidP="00644B7D">
      <w:pPr>
        <w:spacing w:after="0" w:line="480" w:lineRule="auto"/>
        <w:rPr>
          <w:rFonts w:ascii="Times New Roman" w:eastAsia="Calibri" w:hAnsi="Times New Roman" w:cs="Times New Roman"/>
          <w:b/>
          <w:sz w:val="24"/>
          <w:szCs w:val="24"/>
        </w:rPr>
      </w:pPr>
    </w:p>
    <w:p w14:paraId="48850D38" w14:textId="77777777" w:rsidR="00644B7D" w:rsidRPr="00335032" w:rsidRDefault="00644B7D" w:rsidP="00644B7D">
      <w:pPr>
        <w:spacing w:after="0" w:line="480" w:lineRule="auto"/>
        <w:rPr>
          <w:rFonts w:ascii="Times New Roman" w:eastAsia="Calibri" w:hAnsi="Times New Roman" w:cs="Times New Roman"/>
          <w:b/>
          <w:sz w:val="24"/>
          <w:szCs w:val="24"/>
        </w:rPr>
      </w:pPr>
    </w:p>
    <w:p w14:paraId="3358E80C" w14:textId="44BB21D7" w:rsidR="00644B7D" w:rsidRPr="00335032" w:rsidRDefault="00644B7D" w:rsidP="00644B7D">
      <w:pPr>
        <w:spacing w:after="0" w:line="480" w:lineRule="auto"/>
        <w:rPr>
          <w:rFonts w:ascii="Times New Roman" w:eastAsia="Calibri" w:hAnsi="Times New Roman" w:cs="Times New Roman"/>
          <w:b/>
          <w:sz w:val="24"/>
          <w:szCs w:val="24"/>
        </w:rPr>
      </w:pPr>
    </w:p>
    <w:p w14:paraId="5A0E16F6" w14:textId="6993BDBF" w:rsidR="001140C0" w:rsidRPr="00335032" w:rsidRDefault="001140C0" w:rsidP="00644B7D">
      <w:pPr>
        <w:spacing w:after="0" w:line="480" w:lineRule="auto"/>
        <w:rPr>
          <w:rFonts w:ascii="Times New Roman" w:eastAsia="Calibri" w:hAnsi="Times New Roman" w:cs="Times New Roman"/>
          <w:b/>
          <w:sz w:val="24"/>
          <w:szCs w:val="24"/>
        </w:rPr>
      </w:pPr>
    </w:p>
    <w:p w14:paraId="63E3352E" w14:textId="1E7C1C06" w:rsidR="001140C0" w:rsidRPr="00335032" w:rsidRDefault="001140C0" w:rsidP="00644B7D">
      <w:pPr>
        <w:spacing w:after="0" w:line="480" w:lineRule="auto"/>
        <w:rPr>
          <w:rFonts w:ascii="Times New Roman" w:eastAsia="Calibri" w:hAnsi="Times New Roman" w:cs="Times New Roman"/>
          <w:b/>
          <w:sz w:val="24"/>
          <w:szCs w:val="24"/>
        </w:rPr>
      </w:pPr>
    </w:p>
    <w:p w14:paraId="1A4BE4C1" w14:textId="6C937A08" w:rsidR="001140C0" w:rsidRPr="00335032" w:rsidRDefault="001140C0" w:rsidP="00644B7D">
      <w:pPr>
        <w:spacing w:after="0" w:line="480" w:lineRule="auto"/>
        <w:rPr>
          <w:rFonts w:ascii="Times New Roman" w:eastAsia="Calibri" w:hAnsi="Times New Roman" w:cs="Times New Roman"/>
          <w:b/>
          <w:sz w:val="24"/>
          <w:szCs w:val="24"/>
        </w:rPr>
      </w:pPr>
    </w:p>
    <w:p w14:paraId="70BD6E67" w14:textId="2E415C08" w:rsidR="001140C0" w:rsidRPr="00335032" w:rsidRDefault="001140C0" w:rsidP="00644B7D">
      <w:pPr>
        <w:spacing w:after="0" w:line="480" w:lineRule="auto"/>
        <w:rPr>
          <w:rFonts w:ascii="Times New Roman" w:eastAsia="Calibri" w:hAnsi="Times New Roman" w:cs="Times New Roman"/>
          <w:b/>
          <w:sz w:val="24"/>
          <w:szCs w:val="24"/>
        </w:rPr>
      </w:pPr>
    </w:p>
    <w:p w14:paraId="1C746711" w14:textId="77777777" w:rsidR="001140C0" w:rsidRPr="00335032" w:rsidRDefault="001140C0" w:rsidP="00644B7D">
      <w:pPr>
        <w:spacing w:after="0" w:line="480" w:lineRule="auto"/>
        <w:rPr>
          <w:rFonts w:ascii="Times New Roman" w:eastAsia="Calibri" w:hAnsi="Times New Roman" w:cs="Times New Roman"/>
          <w:b/>
          <w:sz w:val="24"/>
          <w:szCs w:val="24"/>
        </w:rPr>
      </w:pPr>
    </w:p>
    <w:p w14:paraId="74CAF1DE" w14:textId="77777777" w:rsidR="00644B7D" w:rsidRPr="00335032" w:rsidRDefault="00644B7D" w:rsidP="00644B7D">
      <w:pPr>
        <w:spacing w:after="0" w:line="480" w:lineRule="auto"/>
        <w:rPr>
          <w:rFonts w:ascii="Times New Roman" w:eastAsia="Calibri" w:hAnsi="Times New Roman" w:cs="Times New Roman"/>
          <w:b/>
          <w:sz w:val="24"/>
          <w:szCs w:val="24"/>
        </w:rPr>
      </w:pPr>
    </w:p>
    <w:p w14:paraId="71E16A9D"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S13. </w:t>
      </w:r>
      <w:r w:rsidRPr="00335032">
        <w:rPr>
          <w:rFonts w:ascii="Times New Roman" w:eastAsia="Calibri" w:hAnsi="Times New Roman" w:cs="Times New Roman"/>
          <w:sz w:val="24"/>
          <w:szCs w:val="24"/>
        </w:rPr>
        <w:t xml:space="preserve">Comparison of most restrictive MSAs between full National Zoning and Land Use Database and Wharton Residential Land Use Regulatory Index 2018 samples </w:t>
      </w:r>
    </w:p>
    <w:p w14:paraId="6FC3F60E" w14:textId="77777777" w:rsidR="00644B7D" w:rsidRPr="00335032" w:rsidRDefault="00644B7D" w:rsidP="00644B7D">
      <w:pPr>
        <w:spacing w:after="0" w:line="240" w:lineRule="auto"/>
        <w:rPr>
          <w:rFonts w:ascii="Times New Roman" w:eastAsia="Calibri" w:hAnsi="Times New Roman" w:cs="Times New Roman"/>
          <w:b/>
          <w:sz w:val="24"/>
          <w:szCs w:val="24"/>
        </w:rPr>
      </w:pPr>
    </w:p>
    <w:tbl>
      <w:tblPr>
        <w:tblStyle w:val="TableGrid"/>
        <w:tblW w:w="0" w:type="auto"/>
        <w:tblLook w:val="04A0" w:firstRow="1" w:lastRow="0" w:firstColumn="1" w:lastColumn="0" w:noHBand="0" w:noVBand="1"/>
      </w:tblPr>
      <w:tblGrid>
        <w:gridCol w:w="671"/>
        <w:gridCol w:w="1857"/>
        <w:gridCol w:w="1256"/>
        <w:gridCol w:w="1156"/>
        <w:gridCol w:w="1425"/>
        <w:gridCol w:w="1256"/>
        <w:gridCol w:w="1181"/>
      </w:tblGrid>
      <w:tr w:rsidR="00644B7D" w:rsidRPr="00335032" w14:paraId="477927A5" w14:textId="77777777" w:rsidTr="00E7334F">
        <w:tc>
          <w:tcPr>
            <w:tcW w:w="671" w:type="dxa"/>
          </w:tcPr>
          <w:p w14:paraId="4BC35C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8131" w:type="dxa"/>
            <w:gridSpan w:val="6"/>
          </w:tcPr>
          <w:p w14:paraId="20ADD2B5"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MSAs</w:t>
            </w:r>
          </w:p>
        </w:tc>
      </w:tr>
      <w:tr w:rsidR="00644B7D" w:rsidRPr="00335032" w14:paraId="007171F1" w14:textId="77777777" w:rsidTr="00E7334F">
        <w:tc>
          <w:tcPr>
            <w:tcW w:w="4940" w:type="dxa"/>
            <w:gridSpan w:val="4"/>
          </w:tcPr>
          <w:p w14:paraId="0DF2C02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(N=328)</w:t>
            </w:r>
          </w:p>
        </w:tc>
        <w:tc>
          <w:tcPr>
            <w:tcW w:w="3862" w:type="dxa"/>
            <w:gridSpan w:val="3"/>
          </w:tcPr>
          <w:p w14:paraId="34C18E00"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(N=320)</w:t>
            </w:r>
          </w:p>
        </w:tc>
      </w:tr>
      <w:tr w:rsidR="00644B7D" w:rsidRPr="00335032" w14:paraId="32D58E2D" w14:textId="77777777" w:rsidTr="00E7334F">
        <w:tc>
          <w:tcPr>
            <w:tcW w:w="671" w:type="dxa"/>
          </w:tcPr>
          <w:p w14:paraId="1B2CD929" w14:textId="77777777" w:rsidR="00644B7D" w:rsidRPr="00335032" w:rsidRDefault="00644B7D" w:rsidP="00644B7D">
            <w:pPr>
              <w:rPr>
                <w:rFonts w:ascii="Times New Roman" w:eastAsia="Calibri" w:hAnsi="Times New Roman" w:cs="Times New Roman"/>
                <w:sz w:val="18"/>
                <w:szCs w:val="24"/>
              </w:rPr>
            </w:pPr>
          </w:p>
        </w:tc>
        <w:tc>
          <w:tcPr>
            <w:tcW w:w="1857" w:type="dxa"/>
          </w:tcPr>
          <w:p w14:paraId="2293AC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165233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56" w:type="dxa"/>
          </w:tcPr>
          <w:p w14:paraId="6AA0E8B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425" w:type="dxa"/>
          </w:tcPr>
          <w:p w14:paraId="3A0C32A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00FFBFA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81" w:type="dxa"/>
          </w:tcPr>
          <w:p w14:paraId="6E6850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28DEB142" w14:textId="77777777" w:rsidTr="00E7334F">
        <w:tc>
          <w:tcPr>
            <w:tcW w:w="671" w:type="dxa"/>
          </w:tcPr>
          <w:p w14:paraId="45BC11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857" w:type="dxa"/>
          </w:tcPr>
          <w:p w14:paraId="5AE96B4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Trenton-Ewing, NJ</w:t>
            </w:r>
          </w:p>
        </w:tc>
        <w:tc>
          <w:tcPr>
            <w:tcW w:w="1256" w:type="dxa"/>
          </w:tcPr>
          <w:p w14:paraId="47C5C2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156" w:type="dxa"/>
          </w:tcPr>
          <w:p w14:paraId="08D613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3.18</w:t>
            </w:r>
          </w:p>
        </w:tc>
        <w:tc>
          <w:tcPr>
            <w:tcW w:w="1425" w:type="dxa"/>
          </w:tcPr>
          <w:p w14:paraId="17C4E8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 Centro, CA</w:t>
            </w:r>
          </w:p>
        </w:tc>
        <w:tc>
          <w:tcPr>
            <w:tcW w:w="1256" w:type="dxa"/>
          </w:tcPr>
          <w:p w14:paraId="78208F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4374F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4.10</w:t>
            </w:r>
          </w:p>
        </w:tc>
      </w:tr>
      <w:tr w:rsidR="00644B7D" w:rsidRPr="00335032" w14:paraId="1BD447AB" w14:textId="77777777" w:rsidTr="00E7334F">
        <w:tc>
          <w:tcPr>
            <w:tcW w:w="671" w:type="dxa"/>
          </w:tcPr>
          <w:p w14:paraId="0242E6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857" w:type="dxa"/>
          </w:tcPr>
          <w:p w14:paraId="5BA1E38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Oxnard-Thousand Oaks-Ventura, CA</w:t>
            </w:r>
          </w:p>
        </w:tc>
        <w:tc>
          <w:tcPr>
            <w:tcW w:w="1256" w:type="dxa"/>
          </w:tcPr>
          <w:p w14:paraId="6CA336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156" w:type="dxa"/>
          </w:tcPr>
          <w:p w14:paraId="4C68BF8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2.59</w:t>
            </w:r>
          </w:p>
        </w:tc>
        <w:tc>
          <w:tcPr>
            <w:tcW w:w="1425" w:type="dxa"/>
          </w:tcPr>
          <w:p w14:paraId="6989B8D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Bloomington, IN</w:t>
            </w:r>
          </w:p>
        </w:tc>
        <w:tc>
          <w:tcPr>
            <w:tcW w:w="1256" w:type="dxa"/>
          </w:tcPr>
          <w:p w14:paraId="638640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306E8AE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3.60</w:t>
            </w:r>
          </w:p>
        </w:tc>
      </w:tr>
      <w:tr w:rsidR="00644B7D" w:rsidRPr="00335032" w14:paraId="4C8B9831" w14:textId="77777777" w:rsidTr="00E7334F">
        <w:tc>
          <w:tcPr>
            <w:tcW w:w="671" w:type="dxa"/>
          </w:tcPr>
          <w:p w14:paraId="39CE2C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857" w:type="dxa"/>
          </w:tcPr>
          <w:p w14:paraId="35A08C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Bremerton-Silverdale, WA</w:t>
            </w:r>
          </w:p>
        </w:tc>
        <w:tc>
          <w:tcPr>
            <w:tcW w:w="1256" w:type="dxa"/>
          </w:tcPr>
          <w:p w14:paraId="6B37F3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6" w:type="dxa"/>
          </w:tcPr>
          <w:p w14:paraId="5C72838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2.17</w:t>
            </w:r>
          </w:p>
        </w:tc>
        <w:tc>
          <w:tcPr>
            <w:tcW w:w="1425" w:type="dxa"/>
          </w:tcPr>
          <w:p w14:paraId="302C5F7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Flagstaff, AZ</w:t>
            </w:r>
          </w:p>
        </w:tc>
        <w:tc>
          <w:tcPr>
            <w:tcW w:w="1256" w:type="dxa"/>
          </w:tcPr>
          <w:p w14:paraId="3156D2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6ADD72D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3.43</w:t>
            </w:r>
          </w:p>
        </w:tc>
      </w:tr>
      <w:tr w:rsidR="00644B7D" w:rsidRPr="00335032" w14:paraId="7CCF5F98" w14:textId="77777777" w:rsidTr="00E7334F">
        <w:tc>
          <w:tcPr>
            <w:tcW w:w="671" w:type="dxa"/>
          </w:tcPr>
          <w:p w14:paraId="225A73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857" w:type="dxa"/>
          </w:tcPr>
          <w:p w14:paraId="031A78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Atlantic City-Hammonton, NJ</w:t>
            </w:r>
          </w:p>
        </w:tc>
        <w:tc>
          <w:tcPr>
            <w:tcW w:w="1256" w:type="dxa"/>
          </w:tcPr>
          <w:p w14:paraId="2993D3C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56" w:type="dxa"/>
          </w:tcPr>
          <w:p w14:paraId="273007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2.13</w:t>
            </w:r>
          </w:p>
        </w:tc>
        <w:tc>
          <w:tcPr>
            <w:tcW w:w="1425" w:type="dxa"/>
          </w:tcPr>
          <w:p w14:paraId="78980AC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Trenton-Ewing, NJ</w:t>
            </w:r>
          </w:p>
        </w:tc>
        <w:tc>
          <w:tcPr>
            <w:tcW w:w="1256" w:type="dxa"/>
          </w:tcPr>
          <w:p w14:paraId="7BE235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027AAC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2.90</w:t>
            </w:r>
          </w:p>
        </w:tc>
      </w:tr>
      <w:tr w:rsidR="00644B7D" w:rsidRPr="00335032" w14:paraId="62D7932D" w14:textId="77777777" w:rsidTr="00E7334F">
        <w:tc>
          <w:tcPr>
            <w:tcW w:w="671" w:type="dxa"/>
          </w:tcPr>
          <w:p w14:paraId="3A9339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857" w:type="dxa"/>
          </w:tcPr>
          <w:p w14:paraId="3D02E0C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York, PA</w:t>
            </w:r>
          </w:p>
        </w:tc>
        <w:tc>
          <w:tcPr>
            <w:tcW w:w="1256" w:type="dxa"/>
          </w:tcPr>
          <w:p w14:paraId="32762A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156" w:type="dxa"/>
          </w:tcPr>
          <w:p w14:paraId="7A59B0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c>
          <w:tcPr>
            <w:tcW w:w="1425" w:type="dxa"/>
          </w:tcPr>
          <w:p w14:paraId="5DE32EA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Luis Obispo-Paso Robles, CA</w:t>
            </w:r>
          </w:p>
        </w:tc>
        <w:tc>
          <w:tcPr>
            <w:tcW w:w="1256" w:type="dxa"/>
          </w:tcPr>
          <w:p w14:paraId="6F80CB9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B0FA9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2.83</w:t>
            </w:r>
          </w:p>
        </w:tc>
      </w:tr>
      <w:tr w:rsidR="00644B7D" w:rsidRPr="00335032" w14:paraId="5E49F97A" w14:textId="77777777" w:rsidTr="00E7334F">
        <w:tc>
          <w:tcPr>
            <w:tcW w:w="671" w:type="dxa"/>
          </w:tcPr>
          <w:p w14:paraId="033616C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857" w:type="dxa"/>
          </w:tcPr>
          <w:p w14:paraId="4D151D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Washington-Arlington-Alexandria, DC-VA-MD-WV</w:t>
            </w:r>
          </w:p>
        </w:tc>
        <w:tc>
          <w:tcPr>
            <w:tcW w:w="1256" w:type="dxa"/>
          </w:tcPr>
          <w:p w14:paraId="3E14A51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w:t>
            </w:r>
          </w:p>
        </w:tc>
        <w:tc>
          <w:tcPr>
            <w:tcW w:w="1156" w:type="dxa"/>
          </w:tcPr>
          <w:p w14:paraId="390F7E6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2,05</w:t>
            </w:r>
          </w:p>
        </w:tc>
        <w:tc>
          <w:tcPr>
            <w:tcW w:w="1425" w:type="dxa"/>
          </w:tcPr>
          <w:p w14:paraId="22716E6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Rosa-Petaluma, CA</w:t>
            </w:r>
          </w:p>
        </w:tc>
        <w:tc>
          <w:tcPr>
            <w:tcW w:w="1256" w:type="dxa"/>
          </w:tcPr>
          <w:p w14:paraId="74A5C4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81" w:type="dxa"/>
          </w:tcPr>
          <w:p w14:paraId="166C92D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2.48</w:t>
            </w:r>
          </w:p>
        </w:tc>
      </w:tr>
      <w:tr w:rsidR="00644B7D" w:rsidRPr="00335032" w14:paraId="32575DE3" w14:textId="77777777" w:rsidTr="00E7334F">
        <w:tc>
          <w:tcPr>
            <w:tcW w:w="671" w:type="dxa"/>
          </w:tcPr>
          <w:p w14:paraId="56F4A0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857" w:type="dxa"/>
          </w:tcPr>
          <w:p w14:paraId="01ADE2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New York-Northern New Jersey-Long Island, NY-NJ-PA</w:t>
            </w:r>
          </w:p>
        </w:tc>
        <w:tc>
          <w:tcPr>
            <w:tcW w:w="1256" w:type="dxa"/>
          </w:tcPr>
          <w:p w14:paraId="06CABA0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108</w:t>
            </w:r>
          </w:p>
        </w:tc>
        <w:tc>
          <w:tcPr>
            <w:tcW w:w="1156" w:type="dxa"/>
          </w:tcPr>
          <w:p w14:paraId="2A507F8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2.01</w:t>
            </w:r>
          </w:p>
        </w:tc>
        <w:tc>
          <w:tcPr>
            <w:tcW w:w="1425" w:type="dxa"/>
          </w:tcPr>
          <w:p w14:paraId="6D396A1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Barbara-Santa Maria-Goleta, CA</w:t>
            </w:r>
          </w:p>
        </w:tc>
        <w:tc>
          <w:tcPr>
            <w:tcW w:w="1256" w:type="dxa"/>
          </w:tcPr>
          <w:p w14:paraId="4EA738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0021F8E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2.23</w:t>
            </w:r>
          </w:p>
        </w:tc>
      </w:tr>
      <w:tr w:rsidR="00644B7D" w:rsidRPr="00335032" w14:paraId="3CB0C910" w14:textId="77777777" w:rsidTr="00E7334F">
        <w:tc>
          <w:tcPr>
            <w:tcW w:w="671" w:type="dxa"/>
          </w:tcPr>
          <w:p w14:paraId="5CB993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1857" w:type="dxa"/>
          </w:tcPr>
          <w:p w14:paraId="56579DC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Providence-New Bedford-Fall River, RI-MA</w:t>
            </w:r>
          </w:p>
        </w:tc>
        <w:tc>
          <w:tcPr>
            <w:tcW w:w="1256" w:type="dxa"/>
          </w:tcPr>
          <w:p w14:paraId="7A4D5F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w:t>
            </w:r>
          </w:p>
        </w:tc>
        <w:tc>
          <w:tcPr>
            <w:tcW w:w="1156" w:type="dxa"/>
          </w:tcPr>
          <w:p w14:paraId="0550853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1.81</w:t>
            </w:r>
          </w:p>
        </w:tc>
        <w:tc>
          <w:tcPr>
            <w:tcW w:w="1425" w:type="dxa"/>
          </w:tcPr>
          <w:p w14:paraId="7D12A6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Vallejo-Fairfield, CA</w:t>
            </w:r>
          </w:p>
        </w:tc>
        <w:tc>
          <w:tcPr>
            <w:tcW w:w="1256" w:type="dxa"/>
          </w:tcPr>
          <w:p w14:paraId="4F82E1B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6B1917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2.16</w:t>
            </w:r>
          </w:p>
        </w:tc>
      </w:tr>
      <w:tr w:rsidR="00644B7D" w:rsidRPr="00335032" w14:paraId="0288C6E0" w14:textId="77777777" w:rsidTr="00E7334F">
        <w:tc>
          <w:tcPr>
            <w:tcW w:w="671" w:type="dxa"/>
          </w:tcPr>
          <w:p w14:paraId="651E3A2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1857" w:type="dxa"/>
          </w:tcPr>
          <w:p w14:paraId="53AA1E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Las Vegas-Paradise, NV</w:t>
            </w:r>
          </w:p>
        </w:tc>
        <w:tc>
          <w:tcPr>
            <w:tcW w:w="1256" w:type="dxa"/>
          </w:tcPr>
          <w:p w14:paraId="405ED6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6" w:type="dxa"/>
          </w:tcPr>
          <w:p w14:paraId="11502E7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1.63</w:t>
            </w:r>
          </w:p>
        </w:tc>
        <w:tc>
          <w:tcPr>
            <w:tcW w:w="1425" w:type="dxa"/>
          </w:tcPr>
          <w:p w14:paraId="4C13C46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Amarillo, TX</w:t>
            </w:r>
          </w:p>
        </w:tc>
        <w:tc>
          <w:tcPr>
            <w:tcW w:w="1256" w:type="dxa"/>
          </w:tcPr>
          <w:p w14:paraId="2D6190B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2F956E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r>
      <w:tr w:rsidR="00644B7D" w:rsidRPr="00335032" w14:paraId="4714C093" w14:textId="77777777" w:rsidTr="00E7334F">
        <w:tc>
          <w:tcPr>
            <w:tcW w:w="671" w:type="dxa"/>
          </w:tcPr>
          <w:p w14:paraId="54422D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1857" w:type="dxa"/>
          </w:tcPr>
          <w:p w14:paraId="09E22FA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Seattle-Tacoma-Bellevue, WA</w:t>
            </w:r>
          </w:p>
        </w:tc>
        <w:tc>
          <w:tcPr>
            <w:tcW w:w="1256" w:type="dxa"/>
          </w:tcPr>
          <w:p w14:paraId="454B627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274</w:t>
            </w:r>
          </w:p>
        </w:tc>
        <w:tc>
          <w:tcPr>
            <w:tcW w:w="1156" w:type="dxa"/>
          </w:tcPr>
          <w:p w14:paraId="780DB45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1.60</w:t>
            </w:r>
          </w:p>
        </w:tc>
        <w:tc>
          <w:tcPr>
            <w:tcW w:w="1425" w:type="dxa"/>
          </w:tcPr>
          <w:p w14:paraId="40CD50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Knoxville, TN</w:t>
            </w:r>
          </w:p>
        </w:tc>
        <w:tc>
          <w:tcPr>
            <w:tcW w:w="1256" w:type="dxa"/>
          </w:tcPr>
          <w:p w14:paraId="1F83899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4421B0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2.10</w:t>
            </w:r>
          </w:p>
        </w:tc>
      </w:tr>
    </w:tbl>
    <w:p w14:paraId="022CB51A" w14:textId="77777777" w:rsidR="00644B7D" w:rsidRPr="00335032" w:rsidRDefault="00644B7D" w:rsidP="00644B7D">
      <w:pPr>
        <w:spacing w:after="0" w:line="480" w:lineRule="auto"/>
        <w:rPr>
          <w:rFonts w:ascii="Times New Roman" w:eastAsia="Calibri" w:hAnsi="Times New Roman" w:cs="Times New Roman"/>
          <w:b/>
          <w:sz w:val="24"/>
          <w:szCs w:val="24"/>
        </w:rPr>
      </w:pPr>
    </w:p>
    <w:p w14:paraId="082C56ED" w14:textId="77777777" w:rsidR="00644B7D" w:rsidRPr="00335032" w:rsidRDefault="00644B7D" w:rsidP="00644B7D">
      <w:pPr>
        <w:spacing w:after="0" w:line="480" w:lineRule="auto"/>
        <w:rPr>
          <w:rFonts w:ascii="Times New Roman" w:eastAsia="Calibri" w:hAnsi="Times New Roman" w:cs="Times New Roman"/>
          <w:b/>
          <w:sz w:val="24"/>
          <w:szCs w:val="24"/>
        </w:rPr>
      </w:pPr>
    </w:p>
    <w:p w14:paraId="280F8995" w14:textId="77777777" w:rsidR="00644B7D" w:rsidRPr="00335032" w:rsidRDefault="00644B7D" w:rsidP="00644B7D">
      <w:pPr>
        <w:spacing w:after="0" w:line="480" w:lineRule="auto"/>
        <w:rPr>
          <w:rFonts w:ascii="Times New Roman" w:eastAsia="Calibri" w:hAnsi="Times New Roman" w:cs="Times New Roman"/>
          <w:b/>
          <w:sz w:val="24"/>
          <w:szCs w:val="24"/>
        </w:rPr>
      </w:pPr>
    </w:p>
    <w:p w14:paraId="771DEE89" w14:textId="77777777" w:rsidR="00644B7D" w:rsidRPr="00335032" w:rsidRDefault="00644B7D" w:rsidP="00644B7D">
      <w:pPr>
        <w:spacing w:after="0" w:line="480" w:lineRule="auto"/>
        <w:rPr>
          <w:rFonts w:ascii="Times New Roman" w:eastAsia="Calibri" w:hAnsi="Times New Roman" w:cs="Times New Roman"/>
          <w:b/>
          <w:sz w:val="24"/>
          <w:szCs w:val="24"/>
        </w:rPr>
      </w:pPr>
    </w:p>
    <w:p w14:paraId="5254F16C" w14:textId="77777777" w:rsidR="00644B7D" w:rsidRPr="00335032" w:rsidRDefault="00644B7D" w:rsidP="00644B7D">
      <w:pPr>
        <w:spacing w:after="0" w:line="480" w:lineRule="auto"/>
        <w:rPr>
          <w:rFonts w:ascii="Times New Roman" w:eastAsia="Calibri" w:hAnsi="Times New Roman" w:cs="Times New Roman"/>
          <w:b/>
          <w:sz w:val="24"/>
          <w:szCs w:val="24"/>
        </w:rPr>
      </w:pPr>
    </w:p>
    <w:p w14:paraId="1FBE90D5" w14:textId="77777777" w:rsidR="00644B7D" w:rsidRPr="00335032" w:rsidRDefault="00644B7D" w:rsidP="00644B7D">
      <w:pPr>
        <w:spacing w:after="0" w:line="240" w:lineRule="auto"/>
        <w:rPr>
          <w:rFonts w:ascii="Times New Roman" w:eastAsia="Calibri" w:hAnsi="Times New Roman" w:cs="Times New Roman"/>
          <w:b/>
          <w:sz w:val="24"/>
          <w:szCs w:val="24"/>
        </w:rPr>
      </w:pPr>
    </w:p>
    <w:p w14:paraId="6CC6F1A0" w14:textId="38A2A795" w:rsidR="00644B7D" w:rsidRPr="00335032" w:rsidRDefault="00644B7D" w:rsidP="00644B7D">
      <w:pPr>
        <w:spacing w:after="0" w:line="240" w:lineRule="auto"/>
        <w:rPr>
          <w:rFonts w:ascii="Times New Roman" w:eastAsia="Calibri" w:hAnsi="Times New Roman" w:cs="Times New Roman"/>
          <w:b/>
          <w:sz w:val="24"/>
          <w:szCs w:val="24"/>
        </w:rPr>
      </w:pPr>
    </w:p>
    <w:p w14:paraId="5303BFA4" w14:textId="51DBDF7A" w:rsidR="001140C0" w:rsidRPr="00335032" w:rsidRDefault="001140C0" w:rsidP="00644B7D">
      <w:pPr>
        <w:spacing w:after="0" w:line="240" w:lineRule="auto"/>
        <w:rPr>
          <w:rFonts w:ascii="Times New Roman" w:eastAsia="Calibri" w:hAnsi="Times New Roman" w:cs="Times New Roman"/>
          <w:b/>
          <w:sz w:val="24"/>
          <w:szCs w:val="24"/>
        </w:rPr>
      </w:pPr>
    </w:p>
    <w:p w14:paraId="7B19308C" w14:textId="106853E9" w:rsidR="001140C0" w:rsidRPr="00335032" w:rsidRDefault="001140C0" w:rsidP="00644B7D">
      <w:pPr>
        <w:spacing w:after="0" w:line="240" w:lineRule="auto"/>
        <w:rPr>
          <w:rFonts w:ascii="Times New Roman" w:eastAsia="Calibri" w:hAnsi="Times New Roman" w:cs="Times New Roman"/>
          <w:b/>
          <w:sz w:val="24"/>
          <w:szCs w:val="24"/>
        </w:rPr>
      </w:pPr>
    </w:p>
    <w:p w14:paraId="0D67DE99" w14:textId="64D35BF6" w:rsidR="001140C0" w:rsidRPr="00335032" w:rsidRDefault="001140C0" w:rsidP="00644B7D">
      <w:pPr>
        <w:spacing w:after="0" w:line="240" w:lineRule="auto"/>
        <w:rPr>
          <w:rFonts w:ascii="Times New Roman" w:eastAsia="Calibri" w:hAnsi="Times New Roman" w:cs="Times New Roman"/>
          <w:b/>
          <w:sz w:val="24"/>
          <w:szCs w:val="24"/>
        </w:rPr>
      </w:pPr>
    </w:p>
    <w:p w14:paraId="1B7BD80B" w14:textId="791BD225" w:rsidR="001140C0" w:rsidRPr="00335032" w:rsidRDefault="001140C0" w:rsidP="00644B7D">
      <w:pPr>
        <w:spacing w:after="0" w:line="240" w:lineRule="auto"/>
        <w:rPr>
          <w:rFonts w:ascii="Times New Roman" w:eastAsia="Calibri" w:hAnsi="Times New Roman" w:cs="Times New Roman"/>
          <w:b/>
          <w:sz w:val="24"/>
          <w:szCs w:val="24"/>
        </w:rPr>
      </w:pPr>
    </w:p>
    <w:p w14:paraId="3B59BF77" w14:textId="7D1312F7" w:rsidR="001140C0" w:rsidRPr="00335032" w:rsidRDefault="001140C0" w:rsidP="00644B7D">
      <w:pPr>
        <w:spacing w:after="0" w:line="240" w:lineRule="auto"/>
        <w:rPr>
          <w:rFonts w:ascii="Times New Roman" w:eastAsia="Calibri" w:hAnsi="Times New Roman" w:cs="Times New Roman"/>
          <w:b/>
          <w:sz w:val="24"/>
          <w:szCs w:val="24"/>
        </w:rPr>
      </w:pPr>
    </w:p>
    <w:p w14:paraId="5FCB8CA8" w14:textId="1EDFFDD9" w:rsidR="001140C0" w:rsidRPr="00335032" w:rsidRDefault="001140C0" w:rsidP="00644B7D">
      <w:pPr>
        <w:spacing w:after="0" w:line="240" w:lineRule="auto"/>
        <w:rPr>
          <w:rFonts w:ascii="Times New Roman" w:eastAsia="Calibri" w:hAnsi="Times New Roman" w:cs="Times New Roman"/>
          <w:b/>
          <w:sz w:val="24"/>
          <w:szCs w:val="24"/>
        </w:rPr>
      </w:pPr>
    </w:p>
    <w:p w14:paraId="121A2821" w14:textId="1082399B" w:rsidR="001140C0" w:rsidRPr="00335032" w:rsidRDefault="001140C0" w:rsidP="00644B7D">
      <w:pPr>
        <w:spacing w:after="0" w:line="240" w:lineRule="auto"/>
        <w:rPr>
          <w:rFonts w:ascii="Times New Roman" w:eastAsia="Calibri" w:hAnsi="Times New Roman" w:cs="Times New Roman"/>
          <w:b/>
          <w:sz w:val="24"/>
          <w:szCs w:val="24"/>
        </w:rPr>
      </w:pPr>
    </w:p>
    <w:p w14:paraId="6EE8AAF3" w14:textId="6EF31C98" w:rsidR="001140C0" w:rsidRPr="00335032" w:rsidRDefault="001140C0" w:rsidP="00644B7D">
      <w:pPr>
        <w:spacing w:after="0" w:line="240" w:lineRule="auto"/>
        <w:rPr>
          <w:rFonts w:ascii="Times New Roman" w:eastAsia="Calibri" w:hAnsi="Times New Roman" w:cs="Times New Roman"/>
          <w:b/>
          <w:sz w:val="24"/>
          <w:szCs w:val="24"/>
        </w:rPr>
      </w:pPr>
    </w:p>
    <w:p w14:paraId="7F9CD7D8" w14:textId="77777777" w:rsidR="001140C0" w:rsidRPr="00335032" w:rsidRDefault="001140C0" w:rsidP="00644B7D">
      <w:pPr>
        <w:spacing w:after="0" w:line="240" w:lineRule="auto"/>
        <w:rPr>
          <w:rFonts w:ascii="Times New Roman" w:eastAsia="Calibri" w:hAnsi="Times New Roman" w:cs="Times New Roman"/>
          <w:b/>
          <w:sz w:val="24"/>
          <w:szCs w:val="24"/>
        </w:rPr>
      </w:pPr>
    </w:p>
    <w:p w14:paraId="392C2998"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S14. </w:t>
      </w:r>
      <w:r w:rsidRPr="00335032">
        <w:rPr>
          <w:rFonts w:ascii="Times New Roman" w:eastAsia="Calibri" w:hAnsi="Times New Roman" w:cs="Times New Roman"/>
          <w:sz w:val="24"/>
          <w:szCs w:val="24"/>
        </w:rPr>
        <w:t>Comparison of least restrictive municipalities between full National Zoning and Land Use Database and Wharton Residential Land Use Regulatory Index 2018 samples</w:t>
      </w:r>
    </w:p>
    <w:p w14:paraId="6E44775F"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3"/>
        <w:gridCol w:w="2699"/>
        <w:gridCol w:w="1766"/>
        <w:gridCol w:w="1930"/>
        <w:gridCol w:w="1604"/>
      </w:tblGrid>
      <w:tr w:rsidR="00644B7D" w:rsidRPr="00335032" w14:paraId="3234E9E5" w14:textId="77777777" w:rsidTr="00E7334F">
        <w:tc>
          <w:tcPr>
            <w:tcW w:w="803" w:type="dxa"/>
          </w:tcPr>
          <w:p w14:paraId="53A4587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9" w:type="dxa"/>
            <w:gridSpan w:val="4"/>
          </w:tcPr>
          <w:p w14:paraId="62E2CF3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municipalities</w:t>
            </w:r>
          </w:p>
        </w:tc>
      </w:tr>
      <w:tr w:rsidR="00644B7D" w:rsidRPr="00335032" w14:paraId="1239EE86" w14:textId="77777777" w:rsidTr="00E7334F">
        <w:tc>
          <w:tcPr>
            <w:tcW w:w="803" w:type="dxa"/>
          </w:tcPr>
          <w:p w14:paraId="32FDB967"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4ABE7B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(N=2,639)</w:t>
            </w:r>
          </w:p>
        </w:tc>
        <w:tc>
          <w:tcPr>
            <w:tcW w:w="3534" w:type="dxa"/>
            <w:gridSpan w:val="2"/>
          </w:tcPr>
          <w:p w14:paraId="0899E0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(N=2,844)</w:t>
            </w:r>
          </w:p>
        </w:tc>
      </w:tr>
      <w:tr w:rsidR="00644B7D" w:rsidRPr="00335032" w14:paraId="26E4DAE7" w14:textId="77777777" w:rsidTr="00E7334F">
        <w:tc>
          <w:tcPr>
            <w:tcW w:w="803" w:type="dxa"/>
          </w:tcPr>
          <w:p w14:paraId="53804BCB" w14:textId="77777777" w:rsidR="00644B7D" w:rsidRPr="00335032" w:rsidRDefault="00644B7D" w:rsidP="00644B7D">
            <w:pPr>
              <w:rPr>
                <w:rFonts w:ascii="Times New Roman" w:eastAsia="Calibri" w:hAnsi="Times New Roman" w:cs="Times New Roman"/>
                <w:sz w:val="18"/>
                <w:szCs w:val="24"/>
              </w:rPr>
            </w:pPr>
          </w:p>
        </w:tc>
        <w:tc>
          <w:tcPr>
            <w:tcW w:w="2699" w:type="dxa"/>
          </w:tcPr>
          <w:p w14:paraId="7BE87E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21502A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1B76B75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4" w:type="dxa"/>
          </w:tcPr>
          <w:p w14:paraId="346522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57707CAC" w14:textId="77777777" w:rsidTr="00E7334F">
        <w:tc>
          <w:tcPr>
            <w:tcW w:w="803" w:type="dxa"/>
          </w:tcPr>
          <w:p w14:paraId="34AE867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266966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Burlington, CO</w:t>
            </w:r>
          </w:p>
        </w:tc>
        <w:tc>
          <w:tcPr>
            <w:tcW w:w="1766" w:type="dxa"/>
          </w:tcPr>
          <w:p w14:paraId="347D3DB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-3.17</w:t>
            </w:r>
          </w:p>
        </w:tc>
        <w:tc>
          <w:tcPr>
            <w:tcW w:w="1930" w:type="dxa"/>
          </w:tcPr>
          <w:p w14:paraId="43B48CE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Polk, IN</w:t>
            </w:r>
          </w:p>
        </w:tc>
        <w:tc>
          <w:tcPr>
            <w:tcW w:w="1604" w:type="dxa"/>
          </w:tcPr>
          <w:p w14:paraId="008DB54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-2.64</w:t>
            </w:r>
          </w:p>
        </w:tc>
      </w:tr>
      <w:tr w:rsidR="00644B7D" w:rsidRPr="00335032" w14:paraId="065B674F" w14:textId="77777777" w:rsidTr="00E7334F">
        <w:tc>
          <w:tcPr>
            <w:tcW w:w="803" w:type="dxa"/>
          </w:tcPr>
          <w:p w14:paraId="116BB3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6BCFDD0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Elsa, TX</w:t>
            </w:r>
          </w:p>
        </w:tc>
        <w:tc>
          <w:tcPr>
            <w:tcW w:w="1766" w:type="dxa"/>
          </w:tcPr>
          <w:p w14:paraId="205E38D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-3.17</w:t>
            </w:r>
          </w:p>
        </w:tc>
        <w:tc>
          <w:tcPr>
            <w:tcW w:w="1930" w:type="dxa"/>
          </w:tcPr>
          <w:p w14:paraId="59B87DD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Perry, OH</w:t>
            </w:r>
          </w:p>
        </w:tc>
        <w:tc>
          <w:tcPr>
            <w:tcW w:w="1604" w:type="dxa"/>
          </w:tcPr>
          <w:p w14:paraId="15C01E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-2.57</w:t>
            </w:r>
          </w:p>
        </w:tc>
      </w:tr>
      <w:tr w:rsidR="00644B7D" w:rsidRPr="00335032" w14:paraId="2A58096E" w14:textId="77777777" w:rsidTr="00E7334F">
        <w:tc>
          <w:tcPr>
            <w:tcW w:w="803" w:type="dxa"/>
          </w:tcPr>
          <w:p w14:paraId="7B96E7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674BC7E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Hornell, NY</w:t>
            </w:r>
          </w:p>
        </w:tc>
        <w:tc>
          <w:tcPr>
            <w:tcW w:w="1766" w:type="dxa"/>
          </w:tcPr>
          <w:p w14:paraId="61410F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1801997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Mexico, ME</w:t>
            </w:r>
          </w:p>
        </w:tc>
        <w:tc>
          <w:tcPr>
            <w:tcW w:w="1604" w:type="dxa"/>
          </w:tcPr>
          <w:p w14:paraId="1069150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-2.55</w:t>
            </w:r>
          </w:p>
        </w:tc>
      </w:tr>
      <w:tr w:rsidR="00644B7D" w:rsidRPr="00335032" w14:paraId="77201D2C" w14:textId="77777777" w:rsidTr="00E7334F">
        <w:tc>
          <w:tcPr>
            <w:tcW w:w="803" w:type="dxa"/>
          </w:tcPr>
          <w:p w14:paraId="0E6E85A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410AE09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Clifton, TN</w:t>
            </w:r>
          </w:p>
        </w:tc>
        <w:tc>
          <w:tcPr>
            <w:tcW w:w="1766" w:type="dxa"/>
          </w:tcPr>
          <w:p w14:paraId="5957CB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182D10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Chester, PA</w:t>
            </w:r>
          </w:p>
        </w:tc>
        <w:tc>
          <w:tcPr>
            <w:tcW w:w="1604" w:type="dxa"/>
          </w:tcPr>
          <w:p w14:paraId="13DBED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-2.48</w:t>
            </w:r>
          </w:p>
        </w:tc>
      </w:tr>
      <w:tr w:rsidR="00644B7D" w:rsidRPr="00335032" w14:paraId="6C605DE0" w14:textId="77777777" w:rsidTr="00E7334F">
        <w:tc>
          <w:tcPr>
            <w:tcW w:w="803" w:type="dxa"/>
          </w:tcPr>
          <w:p w14:paraId="260C0AB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3703A6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Vidor, TX</w:t>
            </w:r>
          </w:p>
        </w:tc>
        <w:tc>
          <w:tcPr>
            <w:tcW w:w="1766" w:type="dxa"/>
          </w:tcPr>
          <w:p w14:paraId="2229D43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39BFCE9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Wakeman, OH</w:t>
            </w:r>
          </w:p>
        </w:tc>
        <w:tc>
          <w:tcPr>
            <w:tcW w:w="1604" w:type="dxa"/>
          </w:tcPr>
          <w:p w14:paraId="0E65A46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-2.45</w:t>
            </w:r>
          </w:p>
        </w:tc>
      </w:tr>
      <w:tr w:rsidR="00644B7D" w:rsidRPr="00335032" w14:paraId="37CDEBDA" w14:textId="77777777" w:rsidTr="00E7334F">
        <w:tc>
          <w:tcPr>
            <w:tcW w:w="803" w:type="dxa"/>
          </w:tcPr>
          <w:p w14:paraId="47FE5A8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03E2D1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Elkins, WV</w:t>
            </w:r>
          </w:p>
        </w:tc>
        <w:tc>
          <w:tcPr>
            <w:tcW w:w="1766" w:type="dxa"/>
          </w:tcPr>
          <w:p w14:paraId="2F9444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6625241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Alton, IN</w:t>
            </w:r>
          </w:p>
        </w:tc>
        <w:tc>
          <w:tcPr>
            <w:tcW w:w="1604" w:type="dxa"/>
          </w:tcPr>
          <w:p w14:paraId="39E5969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-2.36</w:t>
            </w:r>
          </w:p>
        </w:tc>
      </w:tr>
      <w:tr w:rsidR="00644B7D" w:rsidRPr="00335032" w14:paraId="4A0B17A4" w14:textId="77777777" w:rsidTr="00E7334F">
        <w:tc>
          <w:tcPr>
            <w:tcW w:w="803" w:type="dxa"/>
          </w:tcPr>
          <w:p w14:paraId="71DDE65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68DB1A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Corydon, IN</w:t>
            </w:r>
          </w:p>
        </w:tc>
        <w:tc>
          <w:tcPr>
            <w:tcW w:w="1766" w:type="dxa"/>
          </w:tcPr>
          <w:p w14:paraId="38A50F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-2.76</w:t>
            </w:r>
          </w:p>
        </w:tc>
        <w:tc>
          <w:tcPr>
            <w:tcW w:w="1930" w:type="dxa"/>
          </w:tcPr>
          <w:p w14:paraId="2F554DE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Endicott, NY</w:t>
            </w:r>
          </w:p>
        </w:tc>
        <w:tc>
          <w:tcPr>
            <w:tcW w:w="1604" w:type="dxa"/>
          </w:tcPr>
          <w:p w14:paraId="769B97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-2.30</w:t>
            </w:r>
          </w:p>
        </w:tc>
      </w:tr>
      <w:tr w:rsidR="00644B7D" w:rsidRPr="00335032" w14:paraId="1441188A" w14:textId="77777777" w:rsidTr="00E7334F">
        <w:tc>
          <w:tcPr>
            <w:tcW w:w="803" w:type="dxa"/>
          </w:tcPr>
          <w:p w14:paraId="2696B96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7F549C6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Seneca, NY</w:t>
            </w:r>
          </w:p>
        </w:tc>
        <w:tc>
          <w:tcPr>
            <w:tcW w:w="1766" w:type="dxa"/>
          </w:tcPr>
          <w:p w14:paraId="6C012DC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-2.75</w:t>
            </w:r>
          </w:p>
        </w:tc>
        <w:tc>
          <w:tcPr>
            <w:tcW w:w="1930" w:type="dxa"/>
          </w:tcPr>
          <w:p w14:paraId="0445153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Rindge, NH</w:t>
            </w:r>
          </w:p>
        </w:tc>
        <w:tc>
          <w:tcPr>
            <w:tcW w:w="1604" w:type="dxa"/>
          </w:tcPr>
          <w:p w14:paraId="694B993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-2.29</w:t>
            </w:r>
          </w:p>
        </w:tc>
      </w:tr>
      <w:tr w:rsidR="00644B7D" w:rsidRPr="00335032" w14:paraId="2A581716" w14:textId="77777777" w:rsidTr="00E7334F">
        <w:tc>
          <w:tcPr>
            <w:tcW w:w="803" w:type="dxa"/>
          </w:tcPr>
          <w:p w14:paraId="205725E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4A55B2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Floresville, TX</w:t>
            </w:r>
          </w:p>
        </w:tc>
        <w:tc>
          <w:tcPr>
            <w:tcW w:w="1766" w:type="dxa"/>
          </w:tcPr>
          <w:p w14:paraId="549FAA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-2.75</w:t>
            </w:r>
          </w:p>
        </w:tc>
        <w:tc>
          <w:tcPr>
            <w:tcW w:w="1930" w:type="dxa"/>
          </w:tcPr>
          <w:p w14:paraId="0C59FCE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Massena, NY</w:t>
            </w:r>
          </w:p>
        </w:tc>
        <w:tc>
          <w:tcPr>
            <w:tcW w:w="1604" w:type="dxa"/>
          </w:tcPr>
          <w:p w14:paraId="7347F3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-2.29</w:t>
            </w:r>
          </w:p>
        </w:tc>
      </w:tr>
      <w:tr w:rsidR="00644B7D" w:rsidRPr="00335032" w14:paraId="3693F8BE" w14:textId="77777777" w:rsidTr="00E7334F">
        <w:tc>
          <w:tcPr>
            <w:tcW w:w="803" w:type="dxa"/>
          </w:tcPr>
          <w:p w14:paraId="107A61F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420CF25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Richmond, IN</w:t>
            </w:r>
          </w:p>
        </w:tc>
        <w:tc>
          <w:tcPr>
            <w:tcW w:w="1766" w:type="dxa"/>
          </w:tcPr>
          <w:p w14:paraId="05B98A2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-2.72</w:t>
            </w:r>
          </w:p>
        </w:tc>
        <w:tc>
          <w:tcPr>
            <w:tcW w:w="1930" w:type="dxa"/>
          </w:tcPr>
          <w:p w14:paraId="39F6143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Ferndale, MI</w:t>
            </w:r>
          </w:p>
        </w:tc>
        <w:tc>
          <w:tcPr>
            <w:tcW w:w="1604" w:type="dxa"/>
          </w:tcPr>
          <w:p w14:paraId="307293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-2.28</w:t>
            </w:r>
          </w:p>
        </w:tc>
      </w:tr>
    </w:tbl>
    <w:p w14:paraId="3826DCA6" w14:textId="77777777" w:rsidR="00DA75FB" w:rsidRPr="00335032" w:rsidRDefault="00DA75FB" w:rsidP="00644B7D">
      <w:pPr>
        <w:spacing w:after="0" w:line="480" w:lineRule="auto"/>
        <w:rPr>
          <w:rFonts w:ascii="Times New Roman" w:eastAsia="Calibri" w:hAnsi="Times New Roman" w:cs="Times New Roman"/>
        </w:rPr>
      </w:pPr>
    </w:p>
    <w:p w14:paraId="3C042D8F" w14:textId="77777777" w:rsidR="00644B7D" w:rsidRPr="00335032" w:rsidRDefault="00644B7D" w:rsidP="00644B7D">
      <w:pPr>
        <w:spacing w:after="0" w:line="480" w:lineRule="auto"/>
        <w:rPr>
          <w:rFonts w:ascii="Times New Roman" w:eastAsia="Calibri" w:hAnsi="Times New Roman" w:cs="Times New Roman"/>
        </w:rPr>
      </w:pPr>
    </w:p>
    <w:p w14:paraId="0754ADAE" w14:textId="77777777" w:rsidR="00644B7D" w:rsidRPr="00335032" w:rsidRDefault="00644B7D" w:rsidP="00644B7D">
      <w:pPr>
        <w:spacing w:after="0" w:line="480" w:lineRule="auto"/>
        <w:rPr>
          <w:rFonts w:ascii="Times New Roman" w:eastAsia="Calibri" w:hAnsi="Times New Roman" w:cs="Times New Roman"/>
        </w:rPr>
      </w:pPr>
    </w:p>
    <w:p w14:paraId="5697A0CF" w14:textId="77777777" w:rsidR="00644B7D" w:rsidRPr="00335032" w:rsidRDefault="00644B7D" w:rsidP="00644B7D">
      <w:pPr>
        <w:spacing w:after="0" w:line="480" w:lineRule="auto"/>
        <w:rPr>
          <w:rFonts w:ascii="Times New Roman" w:eastAsia="Calibri" w:hAnsi="Times New Roman" w:cs="Times New Roman"/>
        </w:rPr>
      </w:pPr>
    </w:p>
    <w:p w14:paraId="120112AC" w14:textId="77777777" w:rsidR="00644B7D" w:rsidRPr="00335032" w:rsidRDefault="00644B7D" w:rsidP="00644B7D">
      <w:pPr>
        <w:spacing w:after="0" w:line="480" w:lineRule="auto"/>
        <w:rPr>
          <w:rFonts w:ascii="Times New Roman" w:eastAsia="Calibri" w:hAnsi="Times New Roman" w:cs="Times New Roman"/>
        </w:rPr>
      </w:pPr>
    </w:p>
    <w:p w14:paraId="4E36126C" w14:textId="77777777" w:rsidR="00644B7D" w:rsidRPr="00335032" w:rsidRDefault="00644B7D" w:rsidP="00644B7D">
      <w:pPr>
        <w:spacing w:after="0" w:line="480" w:lineRule="auto"/>
        <w:rPr>
          <w:rFonts w:ascii="Times New Roman" w:eastAsia="Calibri" w:hAnsi="Times New Roman" w:cs="Times New Roman"/>
        </w:rPr>
      </w:pPr>
    </w:p>
    <w:p w14:paraId="0B6D8D15" w14:textId="77777777" w:rsidR="00644B7D" w:rsidRPr="00335032" w:rsidRDefault="00644B7D" w:rsidP="00644B7D">
      <w:pPr>
        <w:spacing w:after="0" w:line="480" w:lineRule="auto"/>
        <w:rPr>
          <w:rFonts w:ascii="Times New Roman" w:eastAsia="Calibri" w:hAnsi="Times New Roman" w:cs="Times New Roman"/>
        </w:rPr>
      </w:pPr>
    </w:p>
    <w:p w14:paraId="04CA1BED" w14:textId="77777777" w:rsidR="00644B7D" w:rsidRPr="00335032" w:rsidRDefault="00644B7D" w:rsidP="00644B7D">
      <w:pPr>
        <w:spacing w:after="0" w:line="480" w:lineRule="auto"/>
        <w:rPr>
          <w:rFonts w:ascii="Times New Roman" w:eastAsia="Calibri" w:hAnsi="Times New Roman" w:cs="Times New Roman"/>
        </w:rPr>
      </w:pPr>
    </w:p>
    <w:p w14:paraId="589DF68A" w14:textId="77777777" w:rsidR="00644B7D" w:rsidRPr="00335032" w:rsidRDefault="00644B7D" w:rsidP="00644B7D">
      <w:pPr>
        <w:spacing w:after="0" w:line="480" w:lineRule="auto"/>
        <w:rPr>
          <w:rFonts w:ascii="Times New Roman" w:eastAsia="Calibri" w:hAnsi="Times New Roman" w:cs="Times New Roman"/>
        </w:rPr>
      </w:pPr>
    </w:p>
    <w:p w14:paraId="3F07E2C0" w14:textId="77777777" w:rsidR="00644B7D" w:rsidRPr="00335032" w:rsidRDefault="00644B7D" w:rsidP="00644B7D">
      <w:pPr>
        <w:spacing w:after="0" w:line="480" w:lineRule="auto"/>
        <w:rPr>
          <w:rFonts w:ascii="Times New Roman" w:eastAsia="Calibri" w:hAnsi="Times New Roman" w:cs="Times New Roman"/>
        </w:rPr>
      </w:pPr>
    </w:p>
    <w:p w14:paraId="2C92B8B1" w14:textId="77777777" w:rsidR="00644B7D" w:rsidRPr="00335032" w:rsidRDefault="00644B7D" w:rsidP="00644B7D">
      <w:pPr>
        <w:spacing w:after="0" w:line="240" w:lineRule="auto"/>
        <w:rPr>
          <w:rFonts w:ascii="Times New Roman" w:eastAsia="Calibri" w:hAnsi="Times New Roman" w:cs="Times New Roman"/>
        </w:rPr>
      </w:pPr>
    </w:p>
    <w:p w14:paraId="13C42915" w14:textId="3F117793" w:rsidR="00644B7D" w:rsidRPr="00335032" w:rsidRDefault="00644B7D" w:rsidP="00644B7D">
      <w:pPr>
        <w:spacing w:after="0" w:line="240" w:lineRule="auto"/>
        <w:rPr>
          <w:rFonts w:ascii="Times New Roman" w:eastAsia="Calibri" w:hAnsi="Times New Roman" w:cs="Times New Roman"/>
        </w:rPr>
      </w:pPr>
    </w:p>
    <w:p w14:paraId="1C2510DB" w14:textId="55045BDA" w:rsidR="001140C0" w:rsidRPr="00335032" w:rsidRDefault="001140C0" w:rsidP="00644B7D">
      <w:pPr>
        <w:spacing w:after="0" w:line="240" w:lineRule="auto"/>
        <w:rPr>
          <w:rFonts w:ascii="Times New Roman" w:eastAsia="Calibri" w:hAnsi="Times New Roman" w:cs="Times New Roman"/>
        </w:rPr>
      </w:pPr>
    </w:p>
    <w:p w14:paraId="2344A02D" w14:textId="1AC199FE" w:rsidR="001140C0" w:rsidRPr="00335032" w:rsidRDefault="001140C0" w:rsidP="00644B7D">
      <w:pPr>
        <w:spacing w:after="0" w:line="240" w:lineRule="auto"/>
        <w:rPr>
          <w:rFonts w:ascii="Times New Roman" w:eastAsia="Calibri" w:hAnsi="Times New Roman" w:cs="Times New Roman"/>
        </w:rPr>
      </w:pPr>
    </w:p>
    <w:p w14:paraId="103D6F3B" w14:textId="1FE0E8A0" w:rsidR="001140C0" w:rsidRPr="00335032" w:rsidRDefault="001140C0" w:rsidP="00644B7D">
      <w:pPr>
        <w:spacing w:after="0" w:line="240" w:lineRule="auto"/>
        <w:rPr>
          <w:rFonts w:ascii="Times New Roman" w:eastAsia="Calibri" w:hAnsi="Times New Roman" w:cs="Times New Roman"/>
        </w:rPr>
      </w:pPr>
    </w:p>
    <w:p w14:paraId="124912D3" w14:textId="1863F42F" w:rsidR="001140C0" w:rsidRPr="00335032" w:rsidRDefault="001140C0" w:rsidP="00644B7D">
      <w:pPr>
        <w:spacing w:after="0" w:line="240" w:lineRule="auto"/>
        <w:rPr>
          <w:rFonts w:ascii="Times New Roman" w:eastAsia="Calibri" w:hAnsi="Times New Roman" w:cs="Times New Roman"/>
        </w:rPr>
      </w:pPr>
    </w:p>
    <w:p w14:paraId="4D9B6625" w14:textId="5DAA86AF" w:rsidR="001140C0" w:rsidRPr="00335032" w:rsidRDefault="001140C0" w:rsidP="00644B7D">
      <w:pPr>
        <w:spacing w:after="0" w:line="240" w:lineRule="auto"/>
        <w:rPr>
          <w:rFonts w:ascii="Times New Roman" w:eastAsia="Calibri" w:hAnsi="Times New Roman" w:cs="Times New Roman"/>
        </w:rPr>
      </w:pPr>
    </w:p>
    <w:p w14:paraId="71FDE154" w14:textId="33BA5A17" w:rsidR="001140C0" w:rsidRPr="00335032" w:rsidRDefault="001140C0" w:rsidP="00644B7D">
      <w:pPr>
        <w:spacing w:after="0" w:line="240" w:lineRule="auto"/>
        <w:rPr>
          <w:rFonts w:ascii="Times New Roman" w:eastAsia="Calibri" w:hAnsi="Times New Roman" w:cs="Times New Roman"/>
        </w:rPr>
      </w:pPr>
    </w:p>
    <w:p w14:paraId="0F1EE087" w14:textId="2E98490D" w:rsidR="001140C0" w:rsidRPr="00335032" w:rsidRDefault="001140C0" w:rsidP="00644B7D">
      <w:pPr>
        <w:spacing w:after="0" w:line="240" w:lineRule="auto"/>
        <w:rPr>
          <w:rFonts w:ascii="Times New Roman" w:eastAsia="Calibri" w:hAnsi="Times New Roman" w:cs="Times New Roman"/>
        </w:rPr>
      </w:pPr>
    </w:p>
    <w:p w14:paraId="58433DF6" w14:textId="26ACF7F6" w:rsidR="001140C0" w:rsidRPr="00335032" w:rsidRDefault="001140C0" w:rsidP="00644B7D">
      <w:pPr>
        <w:spacing w:after="0" w:line="240" w:lineRule="auto"/>
        <w:rPr>
          <w:rFonts w:ascii="Times New Roman" w:eastAsia="Calibri" w:hAnsi="Times New Roman" w:cs="Times New Roman"/>
        </w:rPr>
      </w:pPr>
    </w:p>
    <w:p w14:paraId="54B159EE" w14:textId="77777777" w:rsidR="001140C0" w:rsidRPr="00335032" w:rsidRDefault="001140C0" w:rsidP="00644B7D">
      <w:pPr>
        <w:spacing w:after="0" w:line="240" w:lineRule="auto"/>
        <w:rPr>
          <w:rFonts w:ascii="Times New Roman" w:eastAsia="Calibri" w:hAnsi="Times New Roman" w:cs="Times New Roman"/>
        </w:rPr>
      </w:pPr>
    </w:p>
    <w:p w14:paraId="6768C8BE"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EA111E" w14:textId="77777777" w:rsidR="00644B7D" w:rsidRPr="00335032" w:rsidRDefault="00644B7D" w:rsidP="00644B7D">
      <w:pPr>
        <w:spacing w:after="0" w:line="240" w:lineRule="auto"/>
        <w:rPr>
          <w:rFonts w:ascii="Times New Roman" w:eastAsia="Calibri" w:hAnsi="Times New Roman" w:cs="Times New Roman"/>
          <w:b/>
          <w:sz w:val="24"/>
          <w:szCs w:val="24"/>
        </w:rPr>
      </w:pPr>
    </w:p>
    <w:p w14:paraId="553CF094"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S15.</w:t>
      </w:r>
      <w:r w:rsidRPr="00335032">
        <w:rPr>
          <w:rFonts w:ascii="Times New Roman" w:eastAsia="Calibri" w:hAnsi="Times New Roman" w:cs="Times New Roman"/>
          <w:sz w:val="24"/>
          <w:szCs w:val="24"/>
        </w:rPr>
        <w:t xml:space="preserve"> Comparison of least restrictive municipalities among municipalities in </w:t>
      </w:r>
      <w:bookmarkStart w:id="1" w:name="_Hlk117341023"/>
      <w:r w:rsidRPr="00335032">
        <w:rPr>
          <w:rFonts w:ascii="Times New Roman" w:eastAsia="Calibri" w:hAnsi="Times New Roman" w:cs="Times New Roman"/>
          <w:sz w:val="24"/>
          <w:szCs w:val="24"/>
        </w:rPr>
        <w:t xml:space="preserve">National Zoning and Land Use Database, </w:t>
      </w:r>
      <w:bookmarkEnd w:id="1"/>
      <w:r w:rsidRPr="00335032">
        <w:rPr>
          <w:rFonts w:ascii="Times New Roman" w:eastAsia="Calibri" w:hAnsi="Times New Roman" w:cs="Times New Roman"/>
          <w:sz w:val="24"/>
          <w:szCs w:val="24"/>
        </w:rPr>
        <w:t>Wharton Residential Land Use Regulatory Index 2018 and National Longitudinal Land Use Survey 2019 samples</w:t>
      </w:r>
    </w:p>
    <w:p w14:paraId="1DE649AA"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3"/>
        <w:gridCol w:w="2699"/>
        <w:gridCol w:w="1766"/>
        <w:gridCol w:w="1930"/>
        <w:gridCol w:w="1604"/>
      </w:tblGrid>
      <w:tr w:rsidR="00644B7D" w:rsidRPr="00335032" w14:paraId="7AB5EA7E" w14:textId="77777777" w:rsidTr="00E7334F">
        <w:tc>
          <w:tcPr>
            <w:tcW w:w="803" w:type="dxa"/>
          </w:tcPr>
          <w:p w14:paraId="26A4C7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9" w:type="dxa"/>
            <w:gridSpan w:val="4"/>
          </w:tcPr>
          <w:p w14:paraId="1A92543A"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across all samples</w:t>
            </w:r>
          </w:p>
        </w:tc>
      </w:tr>
      <w:tr w:rsidR="00644B7D" w:rsidRPr="00335032" w14:paraId="233D5CBE" w14:textId="77777777" w:rsidTr="00E7334F">
        <w:tc>
          <w:tcPr>
            <w:tcW w:w="803" w:type="dxa"/>
          </w:tcPr>
          <w:p w14:paraId="2FF1D12C"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6AF23F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(N=242)</w:t>
            </w:r>
          </w:p>
        </w:tc>
        <w:tc>
          <w:tcPr>
            <w:tcW w:w="3534" w:type="dxa"/>
            <w:gridSpan w:val="2"/>
          </w:tcPr>
          <w:p w14:paraId="6A8C4B9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2018/National Longitudinal Land Use Survey 2019 values (N=242)</w:t>
            </w:r>
          </w:p>
        </w:tc>
      </w:tr>
      <w:tr w:rsidR="00644B7D" w:rsidRPr="00335032" w14:paraId="757D1AB9" w14:textId="77777777" w:rsidTr="00E7334F">
        <w:tc>
          <w:tcPr>
            <w:tcW w:w="803" w:type="dxa"/>
          </w:tcPr>
          <w:p w14:paraId="041B99ED" w14:textId="77777777" w:rsidR="00644B7D" w:rsidRPr="00335032" w:rsidRDefault="00644B7D" w:rsidP="00644B7D">
            <w:pPr>
              <w:rPr>
                <w:rFonts w:ascii="Times New Roman" w:eastAsia="Calibri" w:hAnsi="Times New Roman" w:cs="Times New Roman"/>
                <w:sz w:val="18"/>
                <w:szCs w:val="24"/>
              </w:rPr>
            </w:pPr>
          </w:p>
        </w:tc>
        <w:tc>
          <w:tcPr>
            <w:tcW w:w="2699" w:type="dxa"/>
          </w:tcPr>
          <w:p w14:paraId="31ECD5B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65CFA5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6A0529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4" w:type="dxa"/>
          </w:tcPr>
          <w:p w14:paraId="63274B3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 (parallel)</w:t>
            </w:r>
          </w:p>
        </w:tc>
      </w:tr>
      <w:tr w:rsidR="00644B7D" w:rsidRPr="00335032" w14:paraId="57B326E1" w14:textId="77777777" w:rsidTr="00E7334F">
        <w:tc>
          <w:tcPr>
            <w:tcW w:w="803" w:type="dxa"/>
          </w:tcPr>
          <w:p w14:paraId="5B772FA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066D057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South St. Paul, MN</w:t>
            </w:r>
          </w:p>
        </w:tc>
        <w:tc>
          <w:tcPr>
            <w:tcW w:w="1766" w:type="dxa"/>
          </w:tcPr>
          <w:p w14:paraId="1F76BB1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-2.13</w:t>
            </w:r>
          </w:p>
        </w:tc>
        <w:tc>
          <w:tcPr>
            <w:tcW w:w="1930" w:type="dxa"/>
          </w:tcPr>
          <w:p w14:paraId="28F3F836" w14:textId="655E1A83"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North Strabane, PA</w:t>
            </w:r>
          </w:p>
        </w:tc>
        <w:tc>
          <w:tcPr>
            <w:tcW w:w="1604" w:type="dxa"/>
          </w:tcPr>
          <w:p w14:paraId="3285F274" w14:textId="707A0648"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-2.56</w:t>
            </w:r>
          </w:p>
        </w:tc>
      </w:tr>
      <w:tr w:rsidR="00644B7D" w:rsidRPr="00335032" w14:paraId="4F8DAF9C" w14:textId="77777777" w:rsidTr="00E7334F">
        <w:tc>
          <w:tcPr>
            <w:tcW w:w="803" w:type="dxa"/>
          </w:tcPr>
          <w:p w14:paraId="0EE75E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5D19A4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Springfield, TN</w:t>
            </w:r>
          </w:p>
        </w:tc>
        <w:tc>
          <w:tcPr>
            <w:tcW w:w="1766" w:type="dxa"/>
          </w:tcPr>
          <w:p w14:paraId="3BCDD3F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c>
          <w:tcPr>
            <w:tcW w:w="1930" w:type="dxa"/>
          </w:tcPr>
          <w:p w14:paraId="6248660B" w14:textId="3C3D8CC6"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Portsmouth, RI</w:t>
            </w:r>
          </w:p>
        </w:tc>
        <w:tc>
          <w:tcPr>
            <w:tcW w:w="1604" w:type="dxa"/>
          </w:tcPr>
          <w:p w14:paraId="0E7F9542" w14:textId="4C5F942B"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-2.50</w:t>
            </w:r>
          </w:p>
        </w:tc>
      </w:tr>
      <w:tr w:rsidR="00644B7D" w:rsidRPr="00335032" w14:paraId="7BC88D20" w14:textId="77777777" w:rsidTr="00E7334F">
        <w:tc>
          <w:tcPr>
            <w:tcW w:w="803" w:type="dxa"/>
          </w:tcPr>
          <w:p w14:paraId="0996DB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7B5F34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Monroeville, PA</w:t>
            </w:r>
          </w:p>
        </w:tc>
        <w:tc>
          <w:tcPr>
            <w:tcW w:w="1766" w:type="dxa"/>
          </w:tcPr>
          <w:p w14:paraId="0E7B7DF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-2.08</w:t>
            </w:r>
          </w:p>
        </w:tc>
        <w:tc>
          <w:tcPr>
            <w:tcW w:w="1930" w:type="dxa"/>
          </w:tcPr>
          <w:p w14:paraId="329B4C03" w14:textId="1AEE6F53"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Hampton, PA</w:t>
            </w:r>
          </w:p>
        </w:tc>
        <w:tc>
          <w:tcPr>
            <w:tcW w:w="1604" w:type="dxa"/>
          </w:tcPr>
          <w:p w14:paraId="0ABFD12E" w14:textId="26088398"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-2.16</w:t>
            </w:r>
          </w:p>
        </w:tc>
      </w:tr>
      <w:tr w:rsidR="00644B7D" w:rsidRPr="00335032" w14:paraId="17269A4F" w14:textId="77777777" w:rsidTr="00E7334F">
        <w:tc>
          <w:tcPr>
            <w:tcW w:w="803" w:type="dxa"/>
          </w:tcPr>
          <w:p w14:paraId="57DB066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089167F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Justice, IL</w:t>
            </w:r>
          </w:p>
        </w:tc>
        <w:tc>
          <w:tcPr>
            <w:tcW w:w="1766" w:type="dxa"/>
          </w:tcPr>
          <w:p w14:paraId="4D4E8B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930" w:type="dxa"/>
          </w:tcPr>
          <w:p w14:paraId="593887FF" w14:textId="57675FE8"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Marshfield, MA</w:t>
            </w:r>
          </w:p>
        </w:tc>
        <w:tc>
          <w:tcPr>
            <w:tcW w:w="1604" w:type="dxa"/>
          </w:tcPr>
          <w:p w14:paraId="68C63686" w14:textId="569A1685"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-2.05</w:t>
            </w:r>
          </w:p>
        </w:tc>
      </w:tr>
      <w:tr w:rsidR="00644B7D" w:rsidRPr="00335032" w14:paraId="34C5EDA8" w14:textId="77777777" w:rsidTr="00E7334F">
        <w:tc>
          <w:tcPr>
            <w:tcW w:w="803" w:type="dxa"/>
          </w:tcPr>
          <w:p w14:paraId="3EFA843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2BAE2E2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Forest Hill, TX</w:t>
            </w:r>
          </w:p>
        </w:tc>
        <w:tc>
          <w:tcPr>
            <w:tcW w:w="1766" w:type="dxa"/>
          </w:tcPr>
          <w:p w14:paraId="542E878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930" w:type="dxa"/>
          </w:tcPr>
          <w:p w14:paraId="1811562E" w14:textId="55DB0720"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Forest Hill, TX</w:t>
            </w:r>
          </w:p>
        </w:tc>
        <w:tc>
          <w:tcPr>
            <w:tcW w:w="1604" w:type="dxa"/>
          </w:tcPr>
          <w:p w14:paraId="6C23CEEB" w14:textId="048BFA6E"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-1.88</w:t>
            </w:r>
          </w:p>
        </w:tc>
      </w:tr>
      <w:tr w:rsidR="00644B7D" w:rsidRPr="00335032" w14:paraId="55B5B699" w14:textId="77777777" w:rsidTr="00E7334F">
        <w:tc>
          <w:tcPr>
            <w:tcW w:w="803" w:type="dxa"/>
          </w:tcPr>
          <w:p w14:paraId="283B093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7BDE66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Pinecrest, FL</w:t>
            </w:r>
          </w:p>
        </w:tc>
        <w:tc>
          <w:tcPr>
            <w:tcW w:w="1766" w:type="dxa"/>
          </w:tcPr>
          <w:p w14:paraId="1E184A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250175CC" w14:textId="2C04848B"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Upper Arlington, OH</w:t>
            </w:r>
          </w:p>
        </w:tc>
        <w:tc>
          <w:tcPr>
            <w:tcW w:w="1604" w:type="dxa"/>
          </w:tcPr>
          <w:p w14:paraId="4410DB31" w14:textId="7488F035"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0F6F8391" w14:textId="77777777" w:rsidTr="00E7334F">
        <w:tc>
          <w:tcPr>
            <w:tcW w:w="803" w:type="dxa"/>
          </w:tcPr>
          <w:p w14:paraId="372AF69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064274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Forest Park, OH</w:t>
            </w:r>
          </w:p>
        </w:tc>
        <w:tc>
          <w:tcPr>
            <w:tcW w:w="1766" w:type="dxa"/>
          </w:tcPr>
          <w:p w14:paraId="3E7423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0887D526" w14:textId="65386659"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Topsfield, MA</w:t>
            </w:r>
          </w:p>
        </w:tc>
        <w:tc>
          <w:tcPr>
            <w:tcW w:w="1604" w:type="dxa"/>
          </w:tcPr>
          <w:p w14:paraId="5E08B75E" w14:textId="01889F24"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-1.73</w:t>
            </w:r>
          </w:p>
        </w:tc>
      </w:tr>
      <w:tr w:rsidR="00644B7D" w:rsidRPr="00335032" w14:paraId="18AC1D7D" w14:textId="77777777" w:rsidTr="00E7334F">
        <w:tc>
          <w:tcPr>
            <w:tcW w:w="803" w:type="dxa"/>
          </w:tcPr>
          <w:p w14:paraId="4417132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444702A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Round Lake, IL</w:t>
            </w:r>
          </w:p>
        </w:tc>
        <w:tc>
          <w:tcPr>
            <w:tcW w:w="1766" w:type="dxa"/>
          </w:tcPr>
          <w:p w14:paraId="733DBD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-1.65</w:t>
            </w:r>
          </w:p>
        </w:tc>
        <w:tc>
          <w:tcPr>
            <w:tcW w:w="1930" w:type="dxa"/>
          </w:tcPr>
          <w:p w14:paraId="228A6348" w14:textId="0E4CE6F6"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Warrington Township, PA</w:t>
            </w:r>
          </w:p>
        </w:tc>
        <w:tc>
          <w:tcPr>
            <w:tcW w:w="1604" w:type="dxa"/>
          </w:tcPr>
          <w:p w14:paraId="320F869E" w14:textId="504F53C1"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-1.73</w:t>
            </w:r>
          </w:p>
        </w:tc>
      </w:tr>
      <w:tr w:rsidR="00644B7D" w:rsidRPr="00335032" w14:paraId="5BE4F13E" w14:textId="77777777" w:rsidTr="00E7334F">
        <w:tc>
          <w:tcPr>
            <w:tcW w:w="803" w:type="dxa"/>
          </w:tcPr>
          <w:p w14:paraId="1DF3FF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34AA43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Sachse, TX        </w:t>
            </w:r>
          </w:p>
        </w:tc>
        <w:tc>
          <w:tcPr>
            <w:tcW w:w="1766" w:type="dxa"/>
          </w:tcPr>
          <w:p w14:paraId="02E99D8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-1.61</w:t>
            </w:r>
          </w:p>
        </w:tc>
        <w:tc>
          <w:tcPr>
            <w:tcW w:w="1930" w:type="dxa"/>
          </w:tcPr>
          <w:p w14:paraId="574CA087" w14:textId="60035889"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Sterling Heights, MI</w:t>
            </w:r>
          </w:p>
        </w:tc>
        <w:tc>
          <w:tcPr>
            <w:tcW w:w="1604" w:type="dxa"/>
          </w:tcPr>
          <w:p w14:paraId="31B73124" w14:textId="21ECF72F"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-1.72</w:t>
            </w:r>
          </w:p>
        </w:tc>
      </w:tr>
      <w:tr w:rsidR="00644B7D" w:rsidRPr="00335032" w14:paraId="0E683B6A" w14:textId="77777777" w:rsidTr="00E7334F">
        <w:trPr>
          <w:trHeight w:val="70"/>
        </w:trPr>
        <w:tc>
          <w:tcPr>
            <w:tcW w:w="803" w:type="dxa"/>
          </w:tcPr>
          <w:p w14:paraId="7907B6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37E126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Lighthouse Point, FL</w:t>
            </w:r>
          </w:p>
        </w:tc>
        <w:tc>
          <w:tcPr>
            <w:tcW w:w="1766" w:type="dxa"/>
          </w:tcPr>
          <w:p w14:paraId="538787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-1.53</w:t>
            </w:r>
          </w:p>
        </w:tc>
        <w:tc>
          <w:tcPr>
            <w:tcW w:w="1930" w:type="dxa"/>
          </w:tcPr>
          <w:p w14:paraId="1155F711" w14:textId="75993C95"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Utica, MI</w:t>
            </w:r>
          </w:p>
        </w:tc>
        <w:tc>
          <w:tcPr>
            <w:tcW w:w="1604" w:type="dxa"/>
          </w:tcPr>
          <w:p w14:paraId="29F3F0C3" w14:textId="14F535E5"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-1.70</w:t>
            </w:r>
          </w:p>
        </w:tc>
      </w:tr>
    </w:tbl>
    <w:p w14:paraId="4FBC0B6D" w14:textId="77777777" w:rsidR="00644B7D" w:rsidRPr="00335032" w:rsidRDefault="00644B7D" w:rsidP="00644B7D">
      <w:pPr>
        <w:spacing w:after="0" w:line="240" w:lineRule="auto"/>
        <w:rPr>
          <w:rFonts w:ascii="Times New Roman" w:eastAsia="Calibri" w:hAnsi="Times New Roman" w:cs="Times New Roman"/>
          <w:sz w:val="18"/>
          <w:szCs w:val="24"/>
        </w:rPr>
      </w:pPr>
    </w:p>
    <w:p w14:paraId="5604B947" w14:textId="77777777" w:rsidR="00D57EAE"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w:t>
      </w:r>
      <w:r w:rsidR="00D57EAE">
        <w:rPr>
          <w:rFonts w:ascii="Times New Roman" w:eastAsia="Calibri" w:hAnsi="Times New Roman" w:cs="Times New Roman"/>
          <w:sz w:val="18"/>
          <w:szCs w:val="24"/>
        </w:rPr>
        <w:t>s</w:t>
      </w:r>
      <w:r w:rsidRPr="00335032">
        <w:rPr>
          <w:rFonts w:ascii="Times New Roman" w:eastAsia="Calibri" w:hAnsi="Times New Roman" w:cs="Times New Roman"/>
          <w:sz w:val="18"/>
          <w:szCs w:val="24"/>
        </w:rPr>
        <w:t xml:space="preserve">: </w:t>
      </w:r>
    </w:p>
    <w:p w14:paraId="7C0F3E18" w14:textId="1A28442B" w:rsidR="00644B7D" w:rsidRDefault="00644B7D" w:rsidP="00D57EAE">
      <w:pPr>
        <w:pStyle w:val="ListParagraph"/>
        <w:numPr>
          <w:ilvl w:val="0"/>
          <w:numId w:val="7"/>
        </w:numPr>
        <w:spacing w:line="240" w:lineRule="auto"/>
        <w:rPr>
          <w:rFonts w:ascii="Times New Roman" w:eastAsia="Calibri" w:hAnsi="Times New Roman" w:cs="Times New Roman"/>
          <w:sz w:val="18"/>
          <w:szCs w:val="24"/>
        </w:rPr>
      </w:pPr>
      <w:r w:rsidRPr="00D57EAE">
        <w:rPr>
          <w:rFonts w:ascii="Times New Roman" w:eastAsia="Calibri" w:hAnsi="Times New Roman" w:cs="Times New Roman"/>
          <w:sz w:val="18"/>
          <w:szCs w:val="24"/>
        </w:rPr>
        <w:t>The ZRI scores for these samples are slightly different since the index (and its parallel index with Wharton Residential Land Use Regulatory Index 2018 and National Longitudinal Land Use Survey 2019 values) was constructed amongst samples that are subsets of the full National Zoning and Land Use Database and Wharton Residential Land Use Regulatory Index/National Longitudinal Land Use Survey samples.</w:t>
      </w:r>
    </w:p>
    <w:p w14:paraId="15CBD820" w14:textId="133857F1" w:rsidR="00D57EAE" w:rsidRPr="00D57EAE" w:rsidRDefault="00D57EAE" w:rsidP="00D57EAE">
      <w:pPr>
        <w:pStyle w:val="ListParagraph"/>
        <w:numPr>
          <w:ilvl w:val="0"/>
          <w:numId w:val="7"/>
        </w:numPr>
        <w:spacing w:line="240" w:lineRule="auto"/>
        <w:rPr>
          <w:rFonts w:ascii="Times New Roman" w:eastAsia="Calibri" w:hAnsi="Times New Roman" w:cs="Times New Roman"/>
          <w:sz w:val="18"/>
          <w:szCs w:val="24"/>
        </w:rPr>
      </w:pPr>
      <w:r>
        <w:rPr>
          <w:rFonts w:ascii="Times New Roman" w:eastAsia="Calibri" w:hAnsi="Times New Roman" w:cs="Times New Roman"/>
          <w:sz w:val="18"/>
          <w:szCs w:val="24"/>
        </w:rPr>
        <w:t>An earlier version of this table reflected an error in calculating the</w:t>
      </w:r>
      <w:r w:rsidR="00502F4E">
        <w:rPr>
          <w:rFonts w:ascii="Times New Roman" w:eastAsia="Calibri" w:hAnsi="Times New Roman" w:cs="Times New Roman"/>
          <w:sz w:val="18"/>
          <w:szCs w:val="24"/>
        </w:rPr>
        <w:t xml:space="preserve"> parallel</w:t>
      </w:r>
      <w:r>
        <w:rPr>
          <w:rFonts w:ascii="Times New Roman" w:eastAsia="Calibri" w:hAnsi="Times New Roman" w:cs="Times New Roman"/>
          <w:sz w:val="18"/>
          <w:szCs w:val="24"/>
        </w:rPr>
        <w:t xml:space="preserve"> ZRI values for the comparison sample (final two columns). The updated table has been corrected. </w:t>
      </w:r>
    </w:p>
    <w:p w14:paraId="6FCE1554" w14:textId="77777777" w:rsidR="00644B7D" w:rsidRPr="00335032" w:rsidRDefault="00644B7D" w:rsidP="00644B7D">
      <w:pPr>
        <w:spacing w:after="0" w:line="480" w:lineRule="auto"/>
        <w:rPr>
          <w:rFonts w:ascii="Times New Roman" w:eastAsia="Calibri" w:hAnsi="Times New Roman" w:cs="Times New Roman"/>
          <w:b/>
          <w:sz w:val="24"/>
          <w:szCs w:val="24"/>
        </w:rPr>
      </w:pPr>
    </w:p>
    <w:p w14:paraId="501526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5660FE1C"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016604"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B38C3B" w14:textId="77777777" w:rsidR="00644B7D" w:rsidRPr="00335032" w:rsidRDefault="00644B7D" w:rsidP="00644B7D">
      <w:pPr>
        <w:spacing w:after="0" w:line="480" w:lineRule="auto"/>
        <w:rPr>
          <w:rFonts w:ascii="Times New Roman" w:eastAsia="Calibri" w:hAnsi="Times New Roman" w:cs="Times New Roman"/>
          <w:b/>
          <w:sz w:val="24"/>
          <w:szCs w:val="24"/>
        </w:rPr>
      </w:pPr>
    </w:p>
    <w:p w14:paraId="0517990A" w14:textId="32D3D6D4" w:rsidR="00644B7D" w:rsidRPr="00335032" w:rsidRDefault="00644B7D" w:rsidP="00644B7D">
      <w:pPr>
        <w:spacing w:after="0" w:line="480" w:lineRule="auto"/>
        <w:rPr>
          <w:rFonts w:ascii="Times New Roman" w:eastAsia="Calibri" w:hAnsi="Times New Roman" w:cs="Times New Roman"/>
          <w:b/>
          <w:sz w:val="24"/>
          <w:szCs w:val="24"/>
        </w:rPr>
      </w:pPr>
    </w:p>
    <w:p w14:paraId="03E554EB" w14:textId="0FF75CF1" w:rsidR="001140C0" w:rsidRPr="00335032" w:rsidRDefault="001140C0" w:rsidP="00644B7D">
      <w:pPr>
        <w:spacing w:after="0" w:line="480" w:lineRule="auto"/>
        <w:rPr>
          <w:rFonts w:ascii="Times New Roman" w:eastAsia="Calibri" w:hAnsi="Times New Roman" w:cs="Times New Roman"/>
          <w:b/>
          <w:sz w:val="24"/>
          <w:szCs w:val="24"/>
        </w:rPr>
      </w:pPr>
    </w:p>
    <w:p w14:paraId="1FB54B6A" w14:textId="091AEE63" w:rsidR="001140C0" w:rsidRPr="00335032" w:rsidRDefault="001140C0" w:rsidP="00644B7D">
      <w:pPr>
        <w:spacing w:after="0" w:line="480" w:lineRule="auto"/>
        <w:rPr>
          <w:rFonts w:ascii="Times New Roman" w:eastAsia="Calibri" w:hAnsi="Times New Roman" w:cs="Times New Roman"/>
          <w:b/>
          <w:sz w:val="24"/>
          <w:szCs w:val="24"/>
        </w:rPr>
      </w:pPr>
    </w:p>
    <w:p w14:paraId="69380D60" w14:textId="26660BAB" w:rsidR="001140C0" w:rsidRPr="00335032" w:rsidRDefault="001140C0" w:rsidP="00644B7D">
      <w:pPr>
        <w:spacing w:after="0" w:line="480" w:lineRule="auto"/>
        <w:rPr>
          <w:rFonts w:ascii="Times New Roman" w:eastAsia="Calibri" w:hAnsi="Times New Roman" w:cs="Times New Roman"/>
          <w:b/>
          <w:sz w:val="24"/>
          <w:szCs w:val="24"/>
        </w:rPr>
      </w:pPr>
    </w:p>
    <w:p w14:paraId="33DA7943" w14:textId="5F6AC685" w:rsidR="001140C0" w:rsidRPr="00335032" w:rsidRDefault="001140C0" w:rsidP="00644B7D">
      <w:pPr>
        <w:spacing w:after="0" w:line="480" w:lineRule="auto"/>
        <w:rPr>
          <w:rFonts w:ascii="Times New Roman" w:eastAsia="Calibri" w:hAnsi="Times New Roman" w:cs="Times New Roman"/>
          <w:b/>
          <w:sz w:val="24"/>
          <w:szCs w:val="24"/>
        </w:rPr>
      </w:pPr>
    </w:p>
    <w:p w14:paraId="1E4ECB96" w14:textId="77777777" w:rsidR="001140C0" w:rsidRPr="00335032" w:rsidRDefault="001140C0" w:rsidP="00644B7D">
      <w:pPr>
        <w:spacing w:after="0" w:line="480" w:lineRule="auto"/>
        <w:rPr>
          <w:rFonts w:ascii="Times New Roman" w:eastAsia="Calibri" w:hAnsi="Times New Roman" w:cs="Times New Roman"/>
          <w:b/>
          <w:sz w:val="24"/>
          <w:szCs w:val="24"/>
        </w:rPr>
      </w:pPr>
    </w:p>
    <w:p w14:paraId="7556D3CB" w14:textId="77777777" w:rsidR="00644B7D" w:rsidRPr="00335032" w:rsidRDefault="00644B7D" w:rsidP="00644B7D">
      <w:pPr>
        <w:spacing w:after="0" w:line="480" w:lineRule="auto"/>
        <w:rPr>
          <w:rFonts w:ascii="Times New Roman" w:eastAsia="Calibri" w:hAnsi="Times New Roman" w:cs="Times New Roman"/>
          <w:b/>
          <w:sz w:val="24"/>
          <w:szCs w:val="24"/>
        </w:rPr>
      </w:pPr>
    </w:p>
    <w:p w14:paraId="1F0817AC" w14:textId="77777777" w:rsidR="00644B7D" w:rsidRPr="00335032" w:rsidRDefault="00644B7D" w:rsidP="00644B7D">
      <w:pPr>
        <w:spacing w:after="0" w:line="240" w:lineRule="auto"/>
        <w:rPr>
          <w:rFonts w:ascii="Times New Roman" w:eastAsia="Calibri" w:hAnsi="Times New Roman" w:cs="Times New Roman"/>
          <w:b/>
          <w:sz w:val="24"/>
          <w:szCs w:val="24"/>
        </w:rPr>
      </w:pPr>
    </w:p>
    <w:p w14:paraId="1480DDF4" w14:textId="77777777" w:rsidR="00644B7D" w:rsidRPr="00335032" w:rsidRDefault="00644B7D" w:rsidP="00644B7D">
      <w:pPr>
        <w:spacing w:after="0" w:line="240" w:lineRule="auto"/>
        <w:rPr>
          <w:rFonts w:ascii="Times New Roman" w:eastAsia="Calibri" w:hAnsi="Times New Roman" w:cs="Times New Roman"/>
          <w:b/>
          <w:sz w:val="24"/>
          <w:szCs w:val="24"/>
        </w:rPr>
      </w:pPr>
    </w:p>
    <w:p w14:paraId="2ECFA385" w14:textId="77777777" w:rsidR="00644B7D" w:rsidRPr="00335032" w:rsidRDefault="00644B7D" w:rsidP="00644B7D">
      <w:pPr>
        <w:spacing w:after="0" w:line="240" w:lineRule="auto"/>
        <w:rPr>
          <w:rFonts w:ascii="Times New Roman" w:eastAsia="Calibri" w:hAnsi="Times New Roman" w:cs="Times New Roman"/>
          <w:b/>
          <w:sz w:val="24"/>
          <w:szCs w:val="24"/>
        </w:rPr>
      </w:pPr>
    </w:p>
    <w:p w14:paraId="5AFB9E0A"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t xml:space="preserve">Table S16. </w:t>
      </w:r>
      <w:r w:rsidRPr="00335032">
        <w:rPr>
          <w:rFonts w:ascii="Times New Roman" w:eastAsia="Calibri" w:hAnsi="Times New Roman" w:cs="Times New Roman"/>
          <w:sz w:val="24"/>
          <w:szCs w:val="24"/>
        </w:rPr>
        <w:t>Comparison of least restrictive MSAs between full National Zoning and Land Use Database and Wharton Residential Land Use Regulatory Index 2018 samples</w:t>
      </w:r>
    </w:p>
    <w:p w14:paraId="01EAB9A2"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672"/>
        <w:gridCol w:w="1858"/>
        <w:gridCol w:w="1256"/>
        <w:gridCol w:w="1157"/>
        <w:gridCol w:w="1422"/>
        <w:gridCol w:w="1256"/>
        <w:gridCol w:w="1181"/>
      </w:tblGrid>
      <w:tr w:rsidR="00644B7D" w:rsidRPr="00335032" w14:paraId="40D42827" w14:textId="77777777" w:rsidTr="00E7334F">
        <w:tc>
          <w:tcPr>
            <w:tcW w:w="672" w:type="dxa"/>
          </w:tcPr>
          <w:p w14:paraId="24E020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8130" w:type="dxa"/>
            <w:gridSpan w:val="6"/>
          </w:tcPr>
          <w:p w14:paraId="4553F469"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MSAs</w:t>
            </w:r>
          </w:p>
        </w:tc>
      </w:tr>
      <w:tr w:rsidR="00644B7D" w:rsidRPr="00335032" w14:paraId="7160AD43" w14:textId="77777777" w:rsidTr="00E7334F">
        <w:tc>
          <w:tcPr>
            <w:tcW w:w="4943" w:type="dxa"/>
            <w:gridSpan w:val="4"/>
          </w:tcPr>
          <w:p w14:paraId="26152900"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(N=328)</w:t>
            </w:r>
          </w:p>
        </w:tc>
        <w:tc>
          <w:tcPr>
            <w:tcW w:w="3859" w:type="dxa"/>
            <w:gridSpan w:val="3"/>
          </w:tcPr>
          <w:p w14:paraId="14D2ADC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(N=320)</w:t>
            </w:r>
          </w:p>
        </w:tc>
      </w:tr>
      <w:tr w:rsidR="00644B7D" w:rsidRPr="00335032" w14:paraId="3C711F9F" w14:textId="77777777" w:rsidTr="00E7334F">
        <w:tc>
          <w:tcPr>
            <w:tcW w:w="672" w:type="dxa"/>
          </w:tcPr>
          <w:p w14:paraId="24E3CF9D" w14:textId="77777777" w:rsidR="00644B7D" w:rsidRPr="00335032" w:rsidRDefault="00644B7D" w:rsidP="00644B7D">
            <w:pPr>
              <w:rPr>
                <w:rFonts w:ascii="Times New Roman" w:eastAsia="Calibri" w:hAnsi="Times New Roman" w:cs="Times New Roman"/>
                <w:sz w:val="18"/>
                <w:szCs w:val="24"/>
              </w:rPr>
            </w:pPr>
          </w:p>
        </w:tc>
        <w:tc>
          <w:tcPr>
            <w:tcW w:w="1858" w:type="dxa"/>
          </w:tcPr>
          <w:p w14:paraId="52A07FA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724DACF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57" w:type="dxa"/>
          </w:tcPr>
          <w:p w14:paraId="28F159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422" w:type="dxa"/>
          </w:tcPr>
          <w:p w14:paraId="4DFA88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1F4BE2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81" w:type="dxa"/>
          </w:tcPr>
          <w:p w14:paraId="3D49348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15862733" w14:textId="77777777" w:rsidTr="00E7334F">
        <w:tc>
          <w:tcPr>
            <w:tcW w:w="672" w:type="dxa"/>
          </w:tcPr>
          <w:p w14:paraId="5AD6E4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858" w:type="dxa"/>
          </w:tcPr>
          <w:p w14:paraId="0118A9C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Corpus Christi, TX</w:t>
            </w:r>
          </w:p>
        </w:tc>
        <w:tc>
          <w:tcPr>
            <w:tcW w:w="1256" w:type="dxa"/>
          </w:tcPr>
          <w:p w14:paraId="2A36A0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57" w:type="dxa"/>
          </w:tcPr>
          <w:p w14:paraId="0CC55E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-2.76</w:t>
            </w:r>
          </w:p>
        </w:tc>
        <w:tc>
          <w:tcPr>
            <w:tcW w:w="1422" w:type="dxa"/>
          </w:tcPr>
          <w:p w14:paraId="0AD980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Lake Havasu City-Kingman, AZ</w:t>
            </w:r>
          </w:p>
        </w:tc>
        <w:tc>
          <w:tcPr>
            <w:tcW w:w="1256" w:type="dxa"/>
          </w:tcPr>
          <w:p w14:paraId="551E425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04E30D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-1.94</w:t>
            </w:r>
          </w:p>
        </w:tc>
      </w:tr>
      <w:tr w:rsidR="00644B7D" w:rsidRPr="00335032" w14:paraId="0C264C3E" w14:textId="77777777" w:rsidTr="00E7334F">
        <w:tc>
          <w:tcPr>
            <w:tcW w:w="672" w:type="dxa"/>
          </w:tcPr>
          <w:p w14:paraId="569A8FE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858" w:type="dxa"/>
          </w:tcPr>
          <w:p w14:paraId="028EF8C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Dubuque, IA</w:t>
            </w:r>
          </w:p>
        </w:tc>
        <w:tc>
          <w:tcPr>
            <w:tcW w:w="1256" w:type="dxa"/>
          </w:tcPr>
          <w:p w14:paraId="41EB4A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7AA3757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-2.63</w:t>
            </w:r>
          </w:p>
        </w:tc>
        <w:tc>
          <w:tcPr>
            <w:tcW w:w="1422" w:type="dxa"/>
          </w:tcPr>
          <w:p w14:paraId="6BDF73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Lubbock, TX</w:t>
            </w:r>
          </w:p>
        </w:tc>
        <w:tc>
          <w:tcPr>
            <w:tcW w:w="1256" w:type="dxa"/>
          </w:tcPr>
          <w:p w14:paraId="7671654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7477A2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-1.82</w:t>
            </w:r>
          </w:p>
        </w:tc>
      </w:tr>
      <w:tr w:rsidR="00644B7D" w:rsidRPr="00335032" w14:paraId="529FC7ED" w14:textId="77777777" w:rsidTr="00E7334F">
        <w:tc>
          <w:tcPr>
            <w:tcW w:w="672" w:type="dxa"/>
          </w:tcPr>
          <w:p w14:paraId="344795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858" w:type="dxa"/>
          </w:tcPr>
          <w:p w14:paraId="394ACAE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Parkersburg-Marietta-Vienna, WV-OH</w:t>
            </w:r>
          </w:p>
        </w:tc>
        <w:tc>
          <w:tcPr>
            <w:tcW w:w="1256" w:type="dxa"/>
          </w:tcPr>
          <w:p w14:paraId="05574D0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0131B24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-1.95</w:t>
            </w:r>
          </w:p>
        </w:tc>
        <w:tc>
          <w:tcPr>
            <w:tcW w:w="1422" w:type="dxa"/>
          </w:tcPr>
          <w:p w14:paraId="6A8FEC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Texarkana, TX-Texarkana, AR</w:t>
            </w:r>
          </w:p>
        </w:tc>
        <w:tc>
          <w:tcPr>
            <w:tcW w:w="1256" w:type="dxa"/>
          </w:tcPr>
          <w:p w14:paraId="2E5EE43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096715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r>
      <w:tr w:rsidR="00644B7D" w:rsidRPr="00335032" w14:paraId="1F413EB1" w14:textId="77777777" w:rsidTr="00E7334F">
        <w:tc>
          <w:tcPr>
            <w:tcW w:w="672" w:type="dxa"/>
          </w:tcPr>
          <w:p w14:paraId="56C5A3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858" w:type="dxa"/>
          </w:tcPr>
          <w:p w14:paraId="770BBB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 Paso, TX</w:t>
            </w:r>
          </w:p>
        </w:tc>
        <w:tc>
          <w:tcPr>
            <w:tcW w:w="1256" w:type="dxa"/>
          </w:tcPr>
          <w:p w14:paraId="1814B3F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6D48486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-1.94</w:t>
            </w:r>
          </w:p>
        </w:tc>
        <w:tc>
          <w:tcPr>
            <w:tcW w:w="1422" w:type="dxa"/>
          </w:tcPr>
          <w:p w14:paraId="090F143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Lake Charles, LA</w:t>
            </w:r>
          </w:p>
        </w:tc>
        <w:tc>
          <w:tcPr>
            <w:tcW w:w="1256" w:type="dxa"/>
          </w:tcPr>
          <w:p w14:paraId="2287C98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4E4A9BA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r>
      <w:tr w:rsidR="00644B7D" w:rsidRPr="00335032" w14:paraId="4438050E" w14:textId="77777777" w:rsidTr="00E7334F">
        <w:tc>
          <w:tcPr>
            <w:tcW w:w="672" w:type="dxa"/>
          </w:tcPr>
          <w:p w14:paraId="250EBF8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858" w:type="dxa"/>
          </w:tcPr>
          <w:p w14:paraId="41D7675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Sebastian-Vero Beach, FL</w:t>
            </w:r>
          </w:p>
        </w:tc>
        <w:tc>
          <w:tcPr>
            <w:tcW w:w="1256" w:type="dxa"/>
          </w:tcPr>
          <w:p w14:paraId="7FA4CD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7" w:type="dxa"/>
          </w:tcPr>
          <w:p w14:paraId="706A81E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-1.82</w:t>
            </w:r>
          </w:p>
        </w:tc>
        <w:tc>
          <w:tcPr>
            <w:tcW w:w="1422" w:type="dxa"/>
          </w:tcPr>
          <w:p w14:paraId="41056B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Dothan, AL</w:t>
            </w:r>
          </w:p>
        </w:tc>
        <w:tc>
          <w:tcPr>
            <w:tcW w:w="1256" w:type="dxa"/>
          </w:tcPr>
          <w:p w14:paraId="07EBBB7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9837BF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-1.61</w:t>
            </w:r>
          </w:p>
        </w:tc>
      </w:tr>
      <w:tr w:rsidR="00644B7D" w:rsidRPr="00335032" w14:paraId="12EA7414" w14:textId="77777777" w:rsidTr="00E7334F">
        <w:tc>
          <w:tcPr>
            <w:tcW w:w="672" w:type="dxa"/>
          </w:tcPr>
          <w:p w14:paraId="3426BE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858" w:type="dxa"/>
          </w:tcPr>
          <w:p w14:paraId="4D73B59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Jacksonville, FL</w:t>
            </w:r>
          </w:p>
        </w:tc>
        <w:tc>
          <w:tcPr>
            <w:tcW w:w="1256" w:type="dxa"/>
          </w:tcPr>
          <w:p w14:paraId="6B093A6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7" w:type="dxa"/>
          </w:tcPr>
          <w:p w14:paraId="5C11E97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-1.78</w:t>
            </w:r>
          </w:p>
        </w:tc>
        <w:tc>
          <w:tcPr>
            <w:tcW w:w="1422" w:type="dxa"/>
          </w:tcPr>
          <w:p w14:paraId="363569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Albany, GA</w:t>
            </w:r>
          </w:p>
        </w:tc>
        <w:tc>
          <w:tcPr>
            <w:tcW w:w="1256" w:type="dxa"/>
          </w:tcPr>
          <w:p w14:paraId="3A0D9DC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76AAFE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-1.52</w:t>
            </w:r>
          </w:p>
        </w:tc>
      </w:tr>
      <w:tr w:rsidR="00644B7D" w:rsidRPr="00335032" w14:paraId="6CE776E3" w14:textId="77777777" w:rsidTr="00E7334F">
        <w:tc>
          <w:tcPr>
            <w:tcW w:w="672" w:type="dxa"/>
          </w:tcPr>
          <w:p w14:paraId="4773EA3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858" w:type="dxa"/>
          </w:tcPr>
          <w:p w14:paraId="44ED671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Charleston-North Charleston-Summerville, SC</w:t>
            </w:r>
          </w:p>
        </w:tc>
        <w:tc>
          <w:tcPr>
            <w:tcW w:w="1256" w:type="dxa"/>
          </w:tcPr>
          <w:p w14:paraId="6297F9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157" w:type="dxa"/>
          </w:tcPr>
          <w:p w14:paraId="7B50520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422" w:type="dxa"/>
          </w:tcPr>
          <w:p w14:paraId="5367CD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Fort Smith, AR-OK</w:t>
            </w:r>
          </w:p>
        </w:tc>
        <w:tc>
          <w:tcPr>
            <w:tcW w:w="1256" w:type="dxa"/>
          </w:tcPr>
          <w:p w14:paraId="504D3EA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E6968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-1.49</w:t>
            </w:r>
          </w:p>
        </w:tc>
      </w:tr>
      <w:tr w:rsidR="00644B7D" w:rsidRPr="00335032" w14:paraId="4F2654E4" w14:textId="77777777" w:rsidTr="00E7334F">
        <w:tc>
          <w:tcPr>
            <w:tcW w:w="672" w:type="dxa"/>
          </w:tcPr>
          <w:p w14:paraId="06C8D58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1858" w:type="dxa"/>
          </w:tcPr>
          <w:p w14:paraId="61B5826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St. Joseph, MO-KS</w:t>
            </w:r>
          </w:p>
        </w:tc>
        <w:tc>
          <w:tcPr>
            <w:tcW w:w="1256" w:type="dxa"/>
          </w:tcPr>
          <w:p w14:paraId="0B5961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7EF56D7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c>
          <w:tcPr>
            <w:tcW w:w="1422" w:type="dxa"/>
          </w:tcPr>
          <w:p w14:paraId="2874EFB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Auburn-Opelika, AL</w:t>
            </w:r>
          </w:p>
        </w:tc>
        <w:tc>
          <w:tcPr>
            <w:tcW w:w="1256" w:type="dxa"/>
          </w:tcPr>
          <w:p w14:paraId="291DA4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7143BF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-1.31</w:t>
            </w:r>
          </w:p>
        </w:tc>
      </w:tr>
      <w:tr w:rsidR="00644B7D" w:rsidRPr="00335032" w14:paraId="1B6DDFD2" w14:textId="77777777" w:rsidTr="00E7334F">
        <w:tc>
          <w:tcPr>
            <w:tcW w:w="672" w:type="dxa"/>
          </w:tcPr>
          <w:p w14:paraId="0C9383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1858" w:type="dxa"/>
          </w:tcPr>
          <w:p w14:paraId="1225A2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Hickory-Lenoir-Morganton, NC</w:t>
            </w:r>
          </w:p>
        </w:tc>
        <w:tc>
          <w:tcPr>
            <w:tcW w:w="1256" w:type="dxa"/>
          </w:tcPr>
          <w:p w14:paraId="48E525C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157" w:type="dxa"/>
          </w:tcPr>
          <w:p w14:paraId="19E790C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c>
          <w:tcPr>
            <w:tcW w:w="1422" w:type="dxa"/>
          </w:tcPr>
          <w:p w14:paraId="63A8CB7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Ames, IA</w:t>
            </w:r>
          </w:p>
        </w:tc>
        <w:tc>
          <w:tcPr>
            <w:tcW w:w="1256" w:type="dxa"/>
          </w:tcPr>
          <w:p w14:paraId="5D92C3D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6270C6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-1.21</w:t>
            </w:r>
          </w:p>
        </w:tc>
      </w:tr>
      <w:tr w:rsidR="00644B7D" w:rsidRPr="00335032" w14:paraId="49869E40" w14:textId="77777777" w:rsidTr="00E7334F">
        <w:tc>
          <w:tcPr>
            <w:tcW w:w="672" w:type="dxa"/>
          </w:tcPr>
          <w:p w14:paraId="61302A1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1858" w:type="dxa"/>
          </w:tcPr>
          <w:p w14:paraId="0FCCAE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Lynchburg, VA</w:t>
            </w:r>
          </w:p>
        </w:tc>
        <w:tc>
          <w:tcPr>
            <w:tcW w:w="1256" w:type="dxa"/>
          </w:tcPr>
          <w:p w14:paraId="3A5E538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4FB7D8D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-1.59</w:t>
            </w:r>
          </w:p>
        </w:tc>
        <w:tc>
          <w:tcPr>
            <w:tcW w:w="1422" w:type="dxa"/>
          </w:tcPr>
          <w:p w14:paraId="5B072FD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Angelo, TX</w:t>
            </w:r>
          </w:p>
        </w:tc>
        <w:tc>
          <w:tcPr>
            <w:tcW w:w="1256" w:type="dxa"/>
          </w:tcPr>
          <w:p w14:paraId="3DC2FC4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C544F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-1.20</w:t>
            </w:r>
          </w:p>
        </w:tc>
      </w:tr>
    </w:tbl>
    <w:p w14:paraId="4C71E660" w14:textId="77777777" w:rsidR="00644B7D" w:rsidRPr="00335032" w:rsidRDefault="00644B7D" w:rsidP="00644B7D">
      <w:pPr>
        <w:spacing w:after="0" w:line="480" w:lineRule="auto"/>
        <w:rPr>
          <w:rFonts w:ascii="Times New Roman" w:eastAsia="Calibri" w:hAnsi="Times New Roman" w:cs="Times New Roman"/>
          <w:sz w:val="24"/>
          <w:szCs w:val="24"/>
        </w:rPr>
      </w:pPr>
    </w:p>
    <w:p w14:paraId="489FC4A5" w14:textId="77777777" w:rsidR="00644B7D" w:rsidRPr="00335032" w:rsidRDefault="00644B7D" w:rsidP="00644B7D">
      <w:pPr>
        <w:spacing w:after="0" w:line="480" w:lineRule="auto"/>
        <w:rPr>
          <w:rFonts w:ascii="Times New Roman" w:eastAsia="Calibri" w:hAnsi="Times New Roman" w:cs="Times New Roman"/>
          <w:b/>
          <w:sz w:val="24"/>
          <w:szCs w:val="24"/>
        </w:rPr>
      </w:pPr>
    </w:p>
    <w:p w14:paraId="3447CAA1" w14:textId="77777777" w:rsidR="00644B7D" w:rsidRPr="00335032" w:rsidRDefault="00644B7D" w:rsidP="00644B7D">
      <w:pPr>
        <w:spacing w:after="0" w:line="480" w:lineRule="auto"/>
        <w:rPr>
          <w:rFonts w:ascii="Times New Roman" w:eastAsia="Calibri" w:hAnsi="Times New Roman" w:cs="Times New Roman"/>
          <w:b/>
          <w:sz w:val="24"/>
          <w:szCs w:val="24"/>
        </w:rPr>
      </w:pPr>
    </w:p>
    <w:p w14:paraId="4135506A" w14:textId="6B5AC304" w:rsidR="00644B7D" w:rsidRPr="00335032" w:rsidRDefault="00644B7D" w:rsidP="00644B7D">
      <w:pPr>
        <w:spacing w:after="0" w:line="480" w:lineRule="auto"/>
        <w:rPr>
          <w:rFonts w:ascii="Times New Roman" w:eastAsia="Calibri" w:hAnsi="Times New Roman" w:cs="Times New Roman"/>
          <w:b/>
          <w:sz w:val="24"/>
          <w:szCs w:val="24"/>
        </w:rPr>
      </w:pPr>
    </w:p>
    <w:p w14:paraId="13F866FE" w14:textId="3B93DF89" w:rsidR="00644B7D" w:rsidRPr="00335032" w:rsidRDefault="00644B7D" w:rsidP="00644B7D">
      <w:pPr>
        <w:spacing w:after="0" w:line="480" w:lineRule="auto"/>
        <w:rPr>
          <w:rFonts w:ascii="Times New Roman" w:eastAsia="Calibri" w:hAnsi="Times New Roman" w:cs="Times New Roman"/>
          <w:b/>
          <w:sz w:val="24"/>
          <w:szCs w:val="24"/>
        </w:rPr>
      </w:pPr>
    </w:p>
    <w:p w14:paraId="32F36CA1" w14:textId="3F9B1882" w:rsidR="00644B7D" w:rsidRPr="00335032" w:rsidRDefault="00644B7D" w:rsidP="00644B7D">
      <w:pPr>
        <w:spacing w:after="0" w:line="480" w:lineRule="auto"/>
        <w:rPr>
          <w:rFonts w:ascii="Times New Roman" w:eastAsia="Calibri" w:hAnsi="Times New Roman" w:cs="Times New Roman"/>
          <w:b/>
          <w:sz w:val="24"/>
          <w:szCs w:val="24"/>
        </w:rPr>
      </w:pPr>
    </w:p>
    <w:p w14:paraId="3C07F9A9" w14:textId="19019859" w:rsidR="00644B7D" w:rsidRPr="00335032" w:rsidRDefault="00644B7D" w:rsidP="00644B7D">
      <w:pPr>
        <w:spacing w:after="0" w:line="480" w:lineRule="auto"/>
        <w:rPr>
          <w:rFonts w:ascii="Times New Roman" w:eastAsia="Calibri" w:hAnsi="Times New Roman" w:cs="Times New Roman"/>
          <w:b/>
          <w:sz w:val="24"/>
          <w:szCs w:val="24"/>
        </w:rPr>
      </w:pPr>
    </w:p>
    <w:p w14:paraId="6D3E3A8A" w14:textId="0758A06B" w:rsidR="00644B7D" w:rsidRPr="00335032" w:rsidRDefault="00644B7D" w:rsidP="00644B7D">
      <w:pPr>
        <w:spacing w:after="0" w:line="480" w:lineRule="auto"/>
        <w:rPr>
          <w:rFonts w:ascii="Times New Roman" w:eastAsia="Calibri" w:hAnsi="Times New Roman" w:cs="Times New Roman"/>
          <w:b/>
          <w:sz w:val="24"/>
          <w:szCs w:val="24"/>
        </w:rPr>
      </w:pPr>
    </w:p>
    <w:p w14:paraId="7AB249A8"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noProof/>
          <w:sz w:val="24"/>
          <w:szCs w:val="24"/>
        </w:rPr>
        <w:lastRenderedPageBreak/>
        <w:drawing>
          <wp:inline distT="0" distB="0" distL="0" distR="0" wp14:anchorId="6F637FAB" wp14:editId="5725BD41">
            <wp:extent cx="5156200" cy="3881193"/>
            <wp:effectExtent l="0" t="0" r="635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163078" cy="3886370"/>
                    </a:xfrm>
                    <a:prstGeom prst="rect">
                      <a:avLst/>
                    </a:prstGeom>
                  </pic:spPr>
                </pic:pic>
              </a:graphicData>
            </a:graphic>
          </wp:inline>
        </w:drawing>
      </w:r>
    </w:p>
    <w:p w14:paraId="24C0B010" w14:textId="77777777" w:rsidR="00644B7D" w:rsidRPr="00335032" w:rsidRDefault="00644B7D" w:rsidP="00644B7D">
      <w:pPr>
        <w:jc w:val="center"/>
        <w:rPr>
          <w:rFonts w:ascii="Times New Roman" w:hAnsi="Times New Roman" w:cs="Times New Roman"/>
          <w:sz w:val="18"/>
          <w:szCs w:val="24"/>
        </w:rPr>
      </w:pPr>
    </w:p>
    <w:p w14:paraId="0F2F1D5F"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b/>
          <w:bCs/>
          <w:sz w:val="24"/>
          <w:szCs w:val="24"/>
        </w:rPr>
        <w:t xml:space="preserve">Figure S1. </w:t>
      </w:r>
      <w:r w:rsidRPr="00335032">
        <w:rPr>
          <w:rFonts w:ascii="Times New Roman" w:hAnsi="Times New Roman" w:cs="Times New Roman"/>
          <w:sz w:val="24"/>
          <w:szCs w:val="24"/>
        </w:rPr>
        <w:t>Example of dimensional requirements stored in text</w:t>
      </w:r>
    </w:p>
    <w:p w14:paraId="1D868AE6" w14:textId="77777777" w:rsidR="00644B7D" w:rsidRPr="00335032" w:rsidRDefault="00644B7D" w:rsidP="00644B7D">
      <w:pPr>
        <w:rPr>
          <w:rFonts w:ascii="Times New Roman" w:hAnsi="Times New Roman" w:cs="Times New Roman"/>
          <w:sz w:val="18"/>
          <w:szCs w:val="24"/>
        </w:rPr>
      </w:pPr>
    </w:p>
    <w:p w14:paraId="4D8B54AC" w14:textId="77777777" w:rsidR="00644B7D" w:rsidRPr="00335032" w:rsidRDefault="00644B7D" w:rsidP="00644B7D">
      <w:pPr>
        <w:rPr>
          <w:rFonts w:ascii="Times New Roman" w:hAnsi="Times New Roman" w:cs="Times New Roman"/>
          <w:sz w:val="18"/>
          <w:szCs w:val="24"/>
        </w:rPr>
      </w:pPr>
    </w:p>
    <w:p w14:paraId="753C3062" w14:textId="77777777" w:rsidR="00644B7D" w:rsidRPr="00335032" w:rsidRDefault="00644B7D" w:rsidP="00644B7D">
      <w:pPr>
        <w:rPr>
          <w:rFonts w:ascii="Times New Roman" w:hAnsi="Times New Roman" w:cs="Times New Roman"/>
          <w:sz w:val="18"/>
          <w:szCs w:val="24"/>
        </w:rPr>
      </w:pPr>
    </w:p>
    <w:p w14:paraId="21192101" w14:textId="77777777" w:rsidR="00644B7D" w:rsidRPr="00335032" w:rsidRDefault="00644B7D" w:rsidP="00644B7D">
      <w:pPr>
        <w:rPr>
          <w:rFonts w:ascii="Times New Roman" w:hAnsi="Times New Roman" w:cs="Times New Roman"/>
          <w:sz w:val="18"/>
          <w:szCs w:val="24"/>
        </w:rPr>
      </w:pPr>
    </w:p>
    <w:p w14:paraId="5C13F183" w14:textId="77777777" w:rsidR="00644B7D" w:rsidRPr="00335032" w:rsidRDefault="00644B7D" w:rsidP="00644B7D">
      <w:pPr>
        <w:rPr>
          <w:rFonts w:ascii="Times New Roman" w:hAnsi="Times New Roman" w:cs="Times New Roman"/>
          <w:sz w:val="18"/>
          <w:szCs w:val="24"/>
        </w:rPr>
      </w:pPr>
    </w:p>
    <w:p w14:paraId="042519BE" w14:textId="77777777" w:rsidR="00644B7D" w:rsidRPr="00335032" w:rsidRDefault="00644B7D" w:rsidP="00644B7D">
      <w:pPr>
        <w:rPr>
          <w:rFonts w:ascii="Times New Roman" w:hAnsi="Times New Roman" w:cs="Times New Roman"/>
          <w:sz w:val="18"/>
          <w:szCs w:val="24"/>
        </w:rPr>
      </w:pPr>
    </w:p>
    <w:p w14:paraId="1E5937C3" w14:textId="77777777" w:rsidR="00644B7D" w:rsidRPr="00335032" w:rsidRDefault="00644B7D" w:rsidP="00644B7D">
      <w:pPr>
        <w:jc w:val="center"/>
        <w:rPr>
          <w:rFonts w:ascii="Times New Roman" w:hAnsi="Times New Roman" w:cs="Times New Roman"/>
          <w:b/>
          <w:bCs/>
          <w:sz w:val="24"/>
          <w:szCs w:val="36"/>
        </w:rPr>
      </w:pPr>
      <w:r w:rsidRPr="00335032">
        <w:rPr>
          <w:rFonts w:ascii="Times New Roman" w:hAnsi="Times New Roman" w:cs="Times New Roman"/>
          <w:b/>
          <w:bCs/>
          <w:noProof/>
          <w:sz w:val="24"/>
          <w:szCs w:val="36"/>
        </w:rPr>
        <w:lastRenderedPageBreak/>
        <w:drawing>
          <wp:inline distT="0" distB="0" distL="0" distR="0" wp14:anchorId="5DDA4373" wp14:editId="195A6EA4">
            <wp:extent cx="6068079" cy="2838450"/>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6072959" cy="2840733"/>
                    </a:xfrm>
                    <a:prstGeom prst="rect">
                      <a:avLst/>
                    </a:prstGeom>
                  </pic:spPr>
                </pic:pic>
              </a:graphicData>
            </a:graphic>
          </wp:inline>
        </w:drawing>
      </w:r>
    </w:p>
    <w:p w14:paraId="5FBCEDFC" w14:textId="77777777" w:rsidR="00644B7D" w:rsidRPr="00335032" w:rsidRDefault="00644B7D" w:rsidP="00644B7D">
      <w:pPr>
        <w:jc w:val="center"/>
        <w:rPr>
          <w:rFonts w:ascii="Times New Roman" w:hAnsi="Times New Roman" w:cs="Times New Roman"/>
          <w:b/>
          <w:bCs/>
          <w:sz w:val="24"/>
          <w:szCs w:val="36"/>
        </w:rPr>
      </w:pPr>
    </w:p>
    <w:p w14:paraId="6E02B496" w14:textId="77777777" w:rsidR="00644B7D" w:rsidRPr="00335032" w:rsidRDefault="00644B7D" w:rsidP="00644B7D">
      <w:pPr>
        <w:jc w:val="center"/>
        <w:rPr>
          <w:rFonts w:ascii="Times New Roman" w:hAnsi="Times New Roman" w:cs="Times New Roman"/>
          <w:b/>
          <w:bCs/>
          <w:sz w:val="24"/>
          <w:szCs w:val="36"/>
        </w:rPr>
      </w:pPr>
      <w:r w:rsidRPr="00335032">
        <w:rPr>
          <w:rFonts w:ascii="Times New Roman" w:hAnsi="Times New Roman" w:cs="Times New Roman"/>
          <w:b/>
          <w:bCs/>
          <w:sz w:val="24"/>
          <w:szCs w:val="36"/>
        </w:rPr>
        <w:t xml:space="preserve">Figure S2. </w:t>
      </w:r>
      <w:r w:rsidRPr="00335032">
        <w:rPr>
          <w:rFonts w:ascii="Times New Roman" w:hAnsi="Times New Roman" w:cs="Times New Roman"/>
          <w:sz w:val="24"/>
          <w:szCs w:val="24"/>
        </w:rPr>
        <w:t>Example of dimensional requirements stored in tables</w:t>
      </w:r>
    </w:p>
    <w:p w14:paraId="78D6C8BD" w14:textId="77777777" w:rsidR="00644B7D" w:rsidRPr="00335032" w:rsidRDefault="00644B7D" w:rsidP="00644B7D">
      <w:pPr>
        <w:rPr>
          <w:rFonts w:ascii="Times New Roman" w:hAnsi="Times New Roman" w:cs="Times New Roman"/>
          <w:b/>
          <w:bCs/>
          <w:sz w:val="24"/>
          <w:szCs w:val="36"/>
        </w:rPr>
      </w:pPr>
    </w:p>
    <w:p w14:paraId="62DFEA60" w14:textId="77777777" w:rsidR="00644B7D" w:rsidRPr="00335032" w:rsidRDefault="00644B7D" w:rsidP="00644B7D">
      <w:pPr>
        <w:rPr>
          <w:rFonts w:ascii="Times New Roman" w:hAnsi="Times New Roman" w:cs="Times New Roman"/>
          <w:sz w:val="18"/>
          <w:szCs w:val="24"/>
        </w:rPr>
      </w:pPr>
    </w:p>
    <w:p w14:paraId="432F5E7C" w14:textId="77777777" w:rsidR="00644B7D" w:rsidRPr="00335032" w:rsidRDefault="00644B7D" w:rsidP="00644B7D">
      <w:pPr>
        <w:rPr>
          <w:rFonts w:ascii="Times New Roman" w:hAnsi="Times New Roman" w:cs="Times New Roman"/>
          <w:sz w:val="18"/>
          <w:szCs w:val="24"/>
        </w:rPr>
      </w:pPr>
    </w:p>
    <w:p w14:paraId="0B488D52" w14:textId="77777777" w:rsidR="00644B7D" w:rsidRPr="00335032" w:rsidRDefault="00644B7D" w:rsidP="00644B7D">
      <w:pPr>
        <w:rPr>
          <w:rFonts w:ascii="Times New Roman" w:hAnsi="Times New Roman" w:cs="Times New Roman"/>
          <w:sz w:val="18"/>
          <w:szCs w:val="24"/>
        </w:rPr>
      </w:pPr>
    </w:p>
    <w:p w14:paraId="79624732" w14:textId="77777777" w:rsidR="00644B7D" w:rsidRPr="00335032" w:rsidRDefault="00644B7D" w:rsidP="00644B7D">
      <w:pPr>
        <w:rPr>
          <w:rFonts w:ascii="Times New Roman" w:hAnsi="Times New Roman" w:cs="Times New Roman"/>
          <w:sz w:val="18"/>
          <w:szCs w:val="24"/>
        </w:rPr>
      </w:pPr>
    </w:p>
    <w:p w14:paraId="4A524326" w14:textId="77777777" w:rsidR="00644B7D" w:rsidRPr="00335032" w:rsidRDefault="00644B7D" w:rsidP="00644B7D">
      <w:pPr>
        <w:rPr>
          <w:rFonts w:ascii="Times New Roman" w:hAnsi="Times New Roman" w:cs="Times New Roman"/>
          <w:sz w:val="18"/>
          <w:szCs w:val="24"/>
        </w:rPr>
      </w:pPr>
    </w:p>
    <w:p w14:paraId="50E6D78E" w14:textId="77777777" w:rsidR="00644B7D" w:rsidRPr="00335032" w:rsidRDefault="00644B7D" w:rsidP="00644B7D">
      <w:pPr>
        <w:rPr>
          <w:rFonts w:ascii="Times New Roman" w:hAnsi="Times New Roman" w:cs="Times New Roman"/>
          <w:sz w:val="18"/>
          <w:szCs w:val="24"/>
        </w:rPr>
      </w:pPr>
    </w:p>
    <w:p w14:paraId="42E838C1" w14:textId="77777777" w:rsidR="00644B7D" w:rsidRPr="00335032" w:rsidRDefault="00644B7D" w:rsidP="00644B7D">
      <w:pPr>
        <w:rPr>
          <w:rFonts w:ascii="Times New Roman" w:hAnsi="Times New Roman" w:cs="Times New Roman"/>
          <w:sz w:val="18"/>
          <w:szCs w:val="24"/>
        </w:rPr>
      </w:pPr>
    </w:p>
    <w:p w14:paraId="61D6199B" w14:textId="77777777" w:rsidR="00644B7D" w:rsidRPr="00335032" w:rsidRDefault="00644B7D" w:rsidP="00644B7D">
      <w:pPr>
        <w:rPr>
          <w:rFonts w:ascii="Times New Roman" w:hAnsi="Times New Roman" w:cs="Times New Roman"/>
          <w:sz w:val="18"/>
          <w:szCs w:val="24"/>
        </w:rPr>
      </w:pPr>
    </w:p>
    <w:p w14:paraId="6DA132D0" w14:textId="77777777" w:rsidR="00644B7D" w:rsidRPr="00335032" w:rsidRDefault="00644B7D" w:rsidP="00644B7D">
      <w:pPr>
        <w:rPr>
          <w:rFonts w:ascii="Times New Roman" w:hAnsi="Times New Roman" w:cs="Times New Roman"/>
          <w:sz w:val="18"/>
          <w:szCs w:val="24"/>
        </w:rPr>
      </w:pPr>
    </w:p>
    <w:p w14:paraId="5C2737CB" w14:textId="77777777" w:rsidR="00644B7D" w:rsidRPr="00335032" w:rsidRDefault="00644B7D" w:rsidP="00644B7D">
      <w:pPr>
        <w:tabs>
          <w:tab w:val="left" w:pos="7965"/>
        </w:tabs>
        <w:spacing w:line="240" w:lineRule="auto"/>
        <w:rPr>
          <w:rFonts w:ascii="Times New Roman" w:hAnsi="Times New Roman" w:cs="Times New Roman"/>
          <w:b/>
          <w:sz w:val="24"/>
          <w:szCs w:val="24"/>
        </w:rPr>
      </w:pPr>
    </w:p>
    <w:p w14:paraId="679445AE" w14:textId="77777777" w:rsidR="00644B7D" w:rsidRPr="00335032" w:rsidRDefault="00644B7D" w:rsidP="00644B7D">
      <w:pPr>
        <w:jc w:val="center"/>
        <w:rPr>
          <w:rFonts w:ascii="Times New Roman" w:hAnsi="Times New Roman" w:cs="Times New Roman"/>
          <w:b/>
          <w:sz w:val="24"/>
          <w:szCs w:val="24"/>
        </w:rPr>
      </w:pPr>
      <w:r w:rsidRPr="00335032">
        <w:rPr>
          <w:noProof/>
        </w:rPr>
        <w:lastRenderedPageBreak/>
        <w:drawing>
          <wp:inline distT="0" distB="0" distL="0" distR="0" wp14:anchorId="3D535794" wp14:editId="4153A5FA">
            <wp:extent cx="5595620" cy="4346575"/>
            <wp:effectExtent l="0" t="0" r="508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5595620" cy="4346575"/>
                    </a:xfrm>
                    <a:prstGeom prst="rect">
                      <a:avLst/>
                    </a:prstGeom>
                  </pic:spPr>
                </pic:pic>
              </a:graphicData>
            </a:graphic>
          </wp:inline>
        </w:drawing>
      </w:r>
    </w:p>
    <w:p w14:paraId="3E42035F"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sz w:val="18"/>
          <w:szCs w:val="24"/>
        </w:rPr>
        <w:t>Note: MS: matching subset</w:t>
      </w:r>
    </w:p>
    <w:p w14:paraId="05882137" w14:textId="0FFD481B" w:rsidR="00644B7D" w:rsidRPr="00335032" w:rsidRDefault="00644B7D" w:rsidP="00644B7D">
      <w:pPr>
        <w:tabs>
          <w:tab w:val="left" w:pos="7965"/>
        </w:tabs>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Figure S3</w:t>
      </w:r>
      <w:r w:rsidRPr="00335032">
        <w:rPr>
          <w:rFonts w:ascii="Times New Roman" w:hAnsi="Times New Roman" w:cs="Times New Roman"/>
          <w:sz w:val="24"/>
          <w:szCs w:val="24"/>
        </w:rPr>
        <w:t>.</w:t>
      </w:r>
      <w:r w:rsidRPr="00335032">
        <w:rPr>
          <w:rFonts w:ascii="Times New Roman" w:hAnsi="Times New Roman" w:cs="Times New Roman"/>
          <w:b/>
          <w:sz w:val="24"/>
          <w:szCs w:val="24"/>
        </w:rPr>
        <w:t xml:space="preserve"> </w:t>
      </w:r>
      <w:r w:rsidRPr="00335032">
        <w:rPr>
          <w:rFonts w:ascii="Times New Roman" w:hAnsi="Times New Roman" w:cs="Times New Roman"/>
          <w:sz w:val="24"/>
          <w:szCs w:val="24"/>
        </w:rPr>
        <w:t xml:space="preserve">Comparison of states with the most </w:t>
      </w:r>
      <w:r w:rsidR="006A09E2">
        <w:rPr>
          <w:rFonts w:ascii="Times New Roman" w:hAnsi="Times New Roman" w:cs="Times New Roman"/>
          <w:sz w:val="24"/>
          <w:szCs w:val="24"/>
        </w:rPr>
        <w:t xml:space="preserve">municipal </w:t>
      </w:r>
      <w:r w:rsidRPr="00335032">
        <w:rPr>
          <w:rFonts w:ascii="Times New Roman" w:hAnsi="Times New Roman" w:cs="Times New Roman"/>
          <w:sz w:val="24"/>
          <w:szCs w:val="24"/>
        </w:rPr>
        <w:t>inclusionary zoning programs between National Zoning and Land Use Database and National Longitudinal Land Use Survey 2019 samples</w:t>
      </w:r>
    </w:p>
    <w:p w14:paraId="526EFC51" w14:textId="77777777" w:rsidR="00644B7D" w:rsidRPr="00335032" w:rsidRDefault="00644B7D" w:rsidP="00644B7D">
      <w:pPr>
        <w:rPr>
          <w:rFonts w:ascii="Times New Roman" w:hAnsi="Times New Roman" w:cs="Times New Roman"/>
          <w:sz w:val="18"/>
          <w:szCs w:val="24"/>
        </w:rPr>
      </w:pPr>
    </w:p>
    <w:p w14:paraId="06D29841" w14:textId="77777777" w:rsidR="00644B7D" w:rsidRPr="00335032" w:rsidRDefault="00644B7D" w:rsidP="00644B7D">
      <w:pPr>
        <w:rPr>
          <w:rFonts w:ascii="Times New Roman" w:hAnsi="Times New Roman" w:cs="Times New Roman"/>
          <w:b/>
          <w:sz w:val="24"/>
          <w:szCs w:val="24"/>
        </w:rPr>
      </w:pPr>
    </w:p>
    <w:p w14:paraId="5827AD82" w14:textId="77777777" w:rsidR="00644B7D" w:rsidRPr="00335032" w:rsidRDefault="00644B7D" w:rsidP="00644B7D">
      <w:pPr>
        <w:rPr>
          <w:rFonts w:ascii="Times New Roman" w:hAnsi="Times New Roman" w:cs="Times New Roman"/>
          <w:b/>
          <w:sz w:val="24"/>
          <w:szCs w:val="24"/>
        </w:rPr>
      </w:pPr>
    </w:p>
    <w:p w14:paraId="05384167" w14:textId="77777777" w:rsidR="00644B7D" w:rsidRPr="00335032" w:rsidRDefault="00644B7D" w:rsidP="00644B7D">
      <w:pPr>
        <w:rPr>
          <w:rFonts w:ascii="Times New Roman" w:hAnsi="Times New Roman" w:cs="Times New Roman"/>
          <w:b/>
          <w:sz w:val="24"/>
          <w:szCs w:val="24"/>
        </w:rPr>
      </w:pPr>
    </w:p>
    <w:p w14:paraId="5A31B27B" w14:textId="77777777" w:rsidR="00644B7D" w:rsidRPr="00335032" w:rsidRDefault="00644B7D" w:rsidP="00644B7D">
      <w:pPr>
        <w:rPr>
          <w:rFonts w:ascii="Times New Roman" w:hAnsi="Times New Roman" w:cs="Times New Roman"/>
          <w:b/>
          <w:sz w:val="24"/>
          <w:szCs w:val="24"/>
        </w:rPr>
      </w:pPr>
    </w:p>
    <w:p w14:paraId="3F98FD03" w14:textId="77777777" w:rsidR="00644B7D" w:rsidRPr="00335032" w:rsidRDefault="00644B7D" w:rsidP="00644B7D">
      <w:pPr>
        <w:jc w:val="center"/>
        <w:rPr>
          <w:rFonts w:ascii="Times New Roman" w:hAnsi="Times New Roman" w:cs="Times New Roman"/>
        </w:rPr>
      </w:pPr>
      <w:r w:rsidRPr="00335032">
        <w:rPr>
          <w:noProof/>
        </w:rPr>
        <w:lastRenderedPageBreak/>
        <w:drawing>
          <wp:inline distT="0" distB="0" distL="0" distR="0" wp14:anchorId="41134029" wp14:editId="1A9144A8">
            <wp:extent cx="5595620" cy="3684905"/>
            <wp:effectExtent l="0" t="0" r="5080" b="0"/>
            <wp:docPr id="12" name="Picture 1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istogram&#10;&#10;Description automatically generated"/>
                    <pic:cNvPicPr/>
                  </pic:nvPicPr>
                  <pic:blipFill>
                    <a:blip r:embed="rId10"/>
                    <a:stretch>
                      <a:fillRect/>
                    </a:stretch>
                  </pic:blipFill>
                  <pic:spPr>
                    <a:xfrm>
                      <a:off x="0" y="0"/>
                      <a:ext cx="5595620" cy="3684905"/>
                    </a:xfrm>
                    <a:prstGeom prst="rect">
                      <a:avLst/>
                    </a:prstGeom>
                  </pic:spPr>
                </pic:pic>
              </a:graphicData>
            </a:graphic>
          </wp:inline>
        </w:drawing>
      </w:r>
    </w:p>
    <w:p w14:paraId="6B2F3E3E" w14:textId="77777777" w:rsidR="00644B7D" w:rsidRPr="00335032" w:rsidRDefault="00644B7D" w:rsidP="00644B7D">
      <w:pPr>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 xml:space="preserve">Figure S4. </w:t>
      </w:r>
      <w:r w:rsidRPr="00335032">
        <w:rPr>
          <w:rFonts w:ascii="Times New Roman" w:hAnsi="Times New Roman" w:cs="Times New Roman"/>
          <w:sz w:val="24"/>
          <w:szCs w:val="24"/>
        </w:rPr>
        <w:t>Density plots of ZRI (National Zoning and Land Use Database) and WRLURI (Wharton Residential Land Use Regulatory Index 2018) indices among all municipalities</w:t>
      </w:r>
    </w:p>
    <w:p w14:paraId="0E73CEC8" w14:textId="77777777" w:rsidR="00644B7D" w:rsidRPr="00335032" w:rsidRDefault="00644B7D" w:rsidP="00644B7D">
      <w:pPr>
        <w:rPr>
          <w:rFonts w:ascii="Times New Roman" w:hAnsi="Times New Roman" w:cs="Times New Roman"/>
        </w:rPr>
      </w:pPr>
    </w:p>
    <w:p w14:paraId="0BD084AF" w14:textId="77777777" w:rsidR="00644B7D" w:rsidRPr="00335032" w:rsidRDefault="00644B7D" w:rsidP="00644B7D">
      <w:pPr>
        <w:rPr>
          <w:rFonts w:ascii="Times New Roman" w:hAnsi="Times New Roman" w:cs="Times New Roman"/>
        </w:rPr>
      </w:pPr>
    </w:p>
    <w:p w14:paraId="597EDFA0" w14:textId="77777777" w:rsidR="00644B7D" w:rsidRPr="00335032" w:rsidRDefault="00644B7D" w:rsidP="00644B7D">
      <w:pPr>
        <w:rPr>
          <w:rFonts w:ascii="Times New Roman" w:hAnsi="Times New Roman" w:cs="Times New Roman"/>
        </w:rPr>
      </w:pPr>
    </w:p>
    <w:p w14:paraId="7355E3D9" w14:textId="77777777" w:rsidR="00644B7D" w:rsidRPr="00335032" w:rsidRDefault="00644B7D" w:rsidP="00644B7D">
      <w:pPr>
        <w:rPr>
          <w:rFonts w:ascii="Times New Roman" w:hAnsi="Times New Roman" w:cs="Times New Roman"/>
        </w:rPr>
      </w:pPr>
    </w:p>
    <w:p w14:paraId="4112FD29" w14:textId="77777777" w:rsidR="00644B7D" w:rsidRPr="00335032" w:rsidRDefault="00644B7D" w:rsidP="00644B7D">
      <w:pPr>
        <w:rPr>
          <w:rFonts w:ascii="Times New Roman" w:hAnsi="Times New Roman" w:cs="Times New Roman"/>
          <w:sz w:val="24"/>
          <w:szCs w:val="24"/>
        </w:rPr>
      </w:pPr>
    </w:p>
    <w:p w14:paraId="1086D528" w14:textId="77777777" w:rsidR="00644B7D" w:rsidRPr="00335032" w:rsidRDefault="00644B7D" w:rsidP="00644B7D">
      <w:pPr>
        <w:jc w:val="center"/>
        <w:rPr>
          <w:rFonts w:ascii="Times New Roman" w:hAnsi="Times New Roman" w:cs="Times New Roman"/>
        </w:rPr>
      </w:pPr>
      <w:r w:rsidRPr="00335032">
        <w:rPr>
          <w:noProof/>
        </w:rPr>
        <w:lastRenderedPageBreak/>
        <w:drawing>
          <wp:inline distT="0" distB="0" distL="0" distR="0" wp14:anchorId="520399C0" wp14:editId="6F2E47D8">
            <wp:extent cx="5595620" cy="4346575"/>
            <wp:effectExtent l="0" t="0" r="508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5595620" cy="4346575"/>
                    </a:xfrm>
                    <a:prstGeom prst="rect">
                      <a:avLst/>
                    </a:prstGeom>
                  </pic:spPr>
                </pic:pic>
              </a:graphicData>
            </a:graphic>
          </wp:inline>
        </w:drawing>
      </w:r>
    </w:p>
    <w:p w14:paraId="1FAC090B" w14:textId="77777777" w:rsidR="00644B7D" w:rsidRDefault="00644B7D" w:rsidP="00644B7D">
      <w:pPr>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 xml:space="preserve">Figure S5. </w:t>
      </w:r>
      <w:r w:rsidRPr="00335032">
        <w:rPr>
          <w:rFonts w:ascii="Times New Roman" w:hAnsi="Times New Roman" w:cs="Times New Roman"/>
          <w:sz w:val="24"/>
          <w:szCs w:val="24"/>
        </w:rPr>
        <w:t>Density plots of ZRI (National Zoning and Land Use Database) and WRLURI (Wharton Residential Land Use Regulatory Index 2018) indices among all MSAs</w:t>
      </w:r>
    </w:p>
    <w:p w14:paraId="25E3B69A" w14:textId="77777777" w:rsidR="00644B7D" w:rsidRPr="002A12B2" w:rsidRDefault="00644B7D" w:rsidP="00644B7D">
      <w:pPr>
        <w:rPr>
          <w:rFonts w:ascii="Times New Roman" w:hAnsi="Times New Roman" w:cs="Times New Roman"/>
        </w:rPr>
      </w:pPr>
    </w:p>
    <w:p w14:paraId="2BE0EFFD" w14:textId="77777777" w:rsidR="00644B7D" w:rsidRDefault="00644B7D" w:rsidP="00644B7D"/>
    <w:p w14:paraId="6E0EEC14" w14:textId="77777777" w:rsidR="00644B7D" w:rsidRPr="00644B7D" w:rsidRDefault="00644B7D" w:rsidP="00644B7D">
      <w:pPr>
        <w:spacing w:after="0" w:line="480" w:lineRule="auto"/>
        <w:rPr>
          <w:rFonts w:ascii="Times New Roman" w:eastAsia="Calibri" w:hAnsi="Times New Roman" w:cs="Times New Roman"/>
          <w:b/>
          <w:sz w:val="24"/>
          <w:szCs w:val="24"/>
        </w:rPr>
      </w:pPr>
    </w:p>
    <w:p w14:paraId="355AC8C0" w14:textId="77777777" w:rsidR="00644B7D" w:rsidRPr="00644B7D" w:rsidRDefault="00644B7D" w:rsidP="00644B7D">
      <w:pPr>
        <w:spacing w:after="0" w:line="480" w:lineRule="auto"/>
        <w:rPr>
          <w:rFonts w:ascii="Times New Roman" w:eastAsia="Calibri" w:hAnsi="Times New Roman" w:cs="Times New Roman"/>
          <w:b/>
          <w:sz w:val="24"/>
          <w:szCs w:val="24"/>
        </w:rPr>
      </w:pPr>
    </w:p>
    <w:p w14:paraId="76D44A35" w14:textId="77777777" w:rsidR="00644B7D" w:rsidRPr="00644B7D" w:rsidRDefault="00644B7D" w:rsidP="00644B7D">
      <w:pPr>
        <w:spacing w:after="0" w:line="480" w:lineRule="auto"/>
        <w:rPr>
          <w:rFonts w:ascii="Times New Roman" w:eastAsia="Calibri" w:hAnsi="Times New Roman" w:cs="Times New Roman"/>
          <w:b/>
          <w:sz w:val="24"/>
          <w:szCs w:val="24"/>
        </w:rPr>
      </w:pPr>
    </w:p>
    <w:p w14:paraId="492FD900" w14:textId="0DC69F68" w:rsidR="00644B7D" w:rsidRDefault="00644B7D" w:rsidP="00644B7D">
      <w:pPr>
        <w:spacing w:after="0" w:line="480" w:lineRule="auto"/>
        <w:rPr>
          <w:rFonts w:ascii="Times New Roman" w:eastAsia="Calibri" w:hAnsi="Times New Roman" w:cs="Times New Roman"/>
          <w:b/>
          <w:sz w:val="24"/>
          <w:szCs w:val="24"/>
        </w:rPr>
      </w:pPr>
    </w:p>
    <w:p w14:paraId="17DE1C4B" w14:textId="441A7BBF" w:rsidR="006A09E2" w:rsidRDefault="006A09E2" w:rsidP="00644B7D">
      <w:pPr>
        <w:spacing w:after="0" w:line="480" w:lineRule="auto"/>
        <w:rPr>
          <w:rFonts w:ascii="Times New Roman" w:eastAsia="Calibri" w:hAnsi="Times New Roman" w:cs="Times New Roman"/>
          <w:b/>
          <w:sz w:val="24"/>
          <w:szCs w:val="24"/>
        </w:rPr>
      </w:pPr>
    </w:p>
    <w:p w14:paraId="470A1A5D" w14:textId="78DE4942" w:rsidR="006A09E2" w:rsidRDefault="006A09E2" w:rsidP="00644B7D">
      <w:pPr>
        <w:spacing w:after="0" w:line="480" w:lineRule="auto"/>
        <w:rPr>
          <w:rFonts w:ascii="Times New Roman" w:eastAsia="Calibri" w:hAnsi="Times New Roman" w:cs="Times New Roman"/>
          <w:b/>
          <w:sz w:val="24"/>
          <w:szCs w:val="24"/>
        </w:rPr>
      </w:pPr>
    </w:p>
    <w:p w14:paraId="02AD5A33" w14:textId="0281EFC6" w:rsidR="006A09E2" w:rsidRDefault="006A09E2" w:rsidP="00644B7D">
      <w:pPr>
        <w:spacing w:after="0" w:line="480" w:lineRule="auto"/>
        <w:rPr>
          <w:rFonts w:ascii="Times New Roman" w:eastAsia="Calibri" w:hAnsi="Times New Roman" w:cs="Times New Roman"/>
          <w:b/>
          <w:sz w:val="24"/>
          <w:szCs w:val="24"/>
        </w:rPr>
      </w:pPr>
    </w:p>
    <w:p w14:paraId="10911301" w14:textId="02DE115A" w:rsidR="006A09E2" w:rsidRDefault="006A09E2" w:rsidP="00644B7D">
      <w:pPr>
        <w:spacing w:after="0" w:line="480" w:lineRule="auto"/>
        <w:rPr>
          <w:rFonts w:ascii="Times New Roman" w:eastAsia="Calibri" w:hAnsi="Times New Roman" w:cs="Times New Roman"/>
          <w:b/>
          <w:sz w:val="24"/>
          <w:szCs w:val="24"/>
        </w:rPr>
      </w:pPr>
    </w:p>
    <w:p w14:paraId="1C4C56CE" w14:textId="1C2DB8FE" w:rsidR="006A09E2" w:rsidRDefault="006A09E2" w:rsidP="00644B7D">
      <w:pPr>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References for Online Supplemental Material </w:t>
      </w:r>
    </w:p>
    <w:p w14:paraId="4B73AC20" w14:textId="77777777" w:rsidR="00E07672" w:rsidRDefault="00E07672" w:rsidP="00E07672">
      <w:pPr>
        <w:ind w:left="720" w:hanging="720"/>
        <w:rPr>
          <w:rFonts w:ascii="Times New Roman" w:hAnsi="Times New Roman" w:cs="Times New Roman"/>
          <w:sz w:val="24"/>
          <w:szCs w:val="24"/>
        </w:rPr>
      </w:pPr>
      <w:r>
        <w:rPr>
          <w:rFonts w:ascii="Times New Roman" w:hAnsi="Times New Roman" w:cs="Times New Roman"/>
          <w:sz w:val="24"/>
          <w:szCs w:val="24"/>
        </w:rPr>
        <w:t xml:space="preserve">Gyourko J, Saiz A and Summers A (2008) A New Measure of the Local Regulatory Environment for Housing Markets: The Wharton Residential Land Use Regulatory Index. </w:t>
      </w:r>
      <w:r>
        <w:rPr>
          <w:rFonts w:ascii="Times New Roman" w:hAnsi="Times New Roman" w:cs="Times New Roman"/>
          <w:i/>
          <w:iCs/>
          <w:sz w:val="24"/>
          <w:szCs w:val="24"/>
        </w:rPr>
        <w:t>Urban Studies</w:t>
      </w:r>
      <w:r>
        <w:rPr>
          <w:rFonts w:ascii="Times New Roman" w:hAnsi="Times New Roman" w:cs="Times New Roman"/>
          <w:sz w:val="24"/>
          <w:szCs w:val="24"/>
        </w:rPr>
        <w:t xml:space="preserve"> 45(3): 693–729. </w:t>
      </w:r>
    </w:p>
    <w:p w14:paraId="5DF33C05" w14:textId="6EDB9150" w:rsidR="00E07672" w:rsidRDefault="00E07672" w:rsidP="00E07672">
      <w:pPr>
        <w:ind w:left="720" w:hanging="720"/>
        <w:rPr>
          <w:rFonts w:ascii="Times New Roman" w:hAnsi="Times New Roman" w:cs="Times New Roman"/>
          <w:sz w:val="24"/>
          <w:szCs w:val="24"/>
        </w:rPr>
      </w:pPr>
      <w:r>
        <w:rPr>
          <w:rFonts w:ascii="Times New Roman" w:hAnsi="Times New Roman" w:cs="Times New Roman"/>
          <w:sz w:val="24"/>
          <w:szCs w:val="24"/>
        </w:rPr>
        <w:t xml:space="preserve">Gyourko J, Hartley JS and Krimmel J (2021) The local residential land use regulatory environment across U.S. housing markets: Evidence from a new Wharton index. </w:t>
      </w:r>
      <w:r>
        <w:rPr>
          <w:rFonts w:ascii="Times New Roman" w:hAnsi="Times New Roman" w:cs="Times New Roman"/>
          <w:i/>
          <w:iCs/>
          <w:sz w:val="24"/>
          <w:szCs w:val="24"/>
        </w:rPr>
        <w:t>Journal of Urban Economics</w:t>
      </w:r>
      <w:r>
        <w:rPr>
          <w:rFonts w:ascii="Times New Roman" w:hAnsi="Times New Roman" w:cs="Times New Roman"/>
          <w:sz w:val="24"/>
          <w:szCs w:val="24"/>
        </w:rPr>
        <w:t xml:space="preserve"> 124: 103337. </w:t>
      </w:r>
    </w:p>
    <w:p w14:paraId="0722239E" w14:textId="2F795D0B"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Hlavac M (2018) </w:t>
      </w:r>
      <w:r>
        <w:rPr>
          <w:rFonts w:ascii="Times New Roman" w:hAnsi="Times New Roman" w:cs="Times New Roman"/>
          <w:i/>
          <w:iCs/>
          <w:sz w:val="24"/>
          <w:szCs w:val="24"/>
        </w:rPr>
        <w:t>Stargazer: Well-Formatted Regression and Summary Statistics Tables</w:t>
      </w:r>
      <w:r>
        <w:rPr>
          <w:rFonts w:ascii="Times New Roman" w:hAnsi="Times New Roman" w:cs="Times New Roman"/>
          <w:sz w:val="24"/>
          <w:szCs w:val="24"/>
        </w:rPr>
        <w:t xml:space="preserve">. Available at: </w:t>
      </w:r>
      <w:hyperlink r:id="rId12" w:history="1">
        <w:r>
          <w:rPr>
            <w:rStyle w:val="Hyperlink"/>
            <w:rFonts w:ascii="Times New Roman" w:hAnsi="Times New Roman" w:cs="Times New Roman"/>
            <w:sz w:val="24"/>
            <w:szCs w:val="24"/>
          </w:rPr>
          <w:t>https://CRAN.R-project.org/package=stargazer</w:t>
        </w:r>
      </w:hyperlink>
      <w:r>
        <w:rPr>
          <w:rFonts w:ascii="Times New Roman" w:hAnsi="Times New Roman" w:cs="Times New Roman"/>
          <w:sz w:val="24"/>
          <w:szCs w:val="24"/>
        </w:rPr>
        <w:t xml:space="preserve"> (accessed 15 June 2020).</w:t>
      </w:r>
    </w:p>
    <w:p w14:paraId="43BD1507"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Holloway SR, Wright R and Ellis M (2012) The Racially Fragmented City? Neighborhood Racial Segregation and Diversity Jointly Considered. </w:t>
      </w:r>
      <w:r>
        <w:rPr>
          <w:rFonts w:ascii="Times New Roman" w:hAnsi="Times New Roman" w:cs="Times New Roman"/>
          <w:i/>
          <w:iCs/>
          <w:sz w:val="24"/>
          <w:szCs w:val="24"/>
        </w:rPr>
        <w:t>The Professional Geographer</w:t>
      </w:r>
      <w:r>
        <w:rPr>
          <w:rFonts w:ascii="Times New Roman" w:hAnsi="Times New Roman" w:cs="Times New Roman"/>
          <w:sz w:val="24"/>
          <w:szCs w:val="24"/>
        </w:rPr>
        <w:t xml:space="preserve"> 64(1): 63–82. </w:t>
      </w:r>
    </w:p>
    <w:p w14:paraId="2A639241" w14:textId="1948CE2A"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Social Explorer (2019) Population Density (Per Sq. Mile), Available at: </w:t>
      </w:r>
      <w:hyperlink r:id="rId13" w:history="1">
        <w:r>
          <w:rPr>
            <w:rStyle w:val="Hyperlink"/>
            <w:rFonts w:ascii="Times New Roman" w:hAnsi="Times New Roman" w:cs="Times New Roman"/>
            <w:sz w:val="24"/>
            <w:szCs w:val="24"/>
          </w:rPr>
          <w:t>https://www.socialexplorer.com/explore-tables</w:t>
        </w:r>
      </w:hyperlink>
      <w:r>
        <w:rPr>
          <w:rFonts w:ascii="Times New Roman" w:hAnsi="Times New Roman" w:cs="Times New Roman"/>
          <w:sz w:val="24"/>
          <w:szCs w:val="24"/>
        </w:rPr>
        <w:t xml:space="preserve"> (accessed 12 January 2022).</w:t>
      </w:r>
    </w:p>
    <w:p w14:paraId="6A0A3AF6"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Reardon SF, Bischoff K, Owens A, et al. (2018) Has Income Segregation Really Increased? Bias and Bias Correction in Sample-Based Segregation Estimates. </w:t>
      </w:r>
      <w:r>
        <w:rPr>
          <w:rFonts w:ascii="Times New Roman" w:hAnsi="Times New Roman" w:cs="Times New Roman"/>
          <w:i/>
          <w:iCs/>
          <w:sz w:val="24"/>
          <w:szCs w:val="24"/>
        </w:rPr>
        <w:t>Demography</w:t>
      </w:r>
      <w:r>
        <w:rPr>
          <w:rFonts w:ascii="Times New Roman" w:hAnsi="Times New Roman" w:cs="Times New Roman"/>
          <w:sz w:val="24"/>
          <w:szCs w:val="24"/>
        </w:rPr>
        <w:t xml:space="preserve"> 55(6): 2129–2160. </w:t>
      </w:r>
    </w:p>
    <w:p w14:paraId="2AB46523"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Roberto E (2016) The Divergence Index: A Decomposable Measure of Segregation and Inequality. arXiv:1508.01167 [stat.ME]. Available at: </w:t>
      </w:r>
      <w:hyperlink r:id="rId14" w:history="1">
        <w:r>
          <w:rPr>
            <w:rStyle w:val="Hyperlink"/>
            <w:rFonts w:ascii="Times New Roman" w:hAnsi="Times New Roman" w:cs="Times New Roman"/>
            <w:sz w:val="24"/>
            <w:szCs w:val="24"/>
          </w:rPr>
          <w:t>http://arxiv.org/abs/1508.01167</w:t>
        </w:r>
      </w:hyperlink>
      <w:r>
        <w:rPr>
          <w:rFonts w:ascii="Times New Roman" w:hAnsi="Times New Roman" w:cs="Times New Roman"/>
          <w:sz w:val="24"/>
          <w:szCs w:val="24"/>
        </w:rPr>
        <w:t xml:space="preserve"> (accessed 16 July 2021).</w:t>
      </w:r>
    </w:p>
    <w:p w14:paraId="211EB8AC" w14:textId="77777777" w:rsidR="006A09E2" w:rsidRPr="00E07672" w:rsidRDefault="006A09E2" w:rsidP="00644B7D">
      <w:pPr>
        <w:spacing w:after="0" w:line="480" w:lineRule="auto"/>
        <w:rPr>
          <w:rFonts w:ascii="Times New Roman" w:eastAsia="Calibri" w:hAnsi="Times New Roman" w:cs="Times New Roman"/>
          <w:bCs/>
          <w:sz w:val="20"/>
          <w:szCs w:val="20"/>
        </w:rPr>
      </w:pPr>
    </w:p>
    <w:p w14:paraId="31DFA446" w14:textId="77777777" w:rsidR="00A26390" w:rsidRDefault="00A26390"/>
    <w:sectPr w:rsidR="00A26390" w:rsidSect="001140C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BF79D" w14:textId="77777777" w:rsidR="00382EE5" w:rsidRDefault="00382EE5">
      <w:pPr>
        <w:spacing w:after="0" w:line="240" w:lineRule="auto"/>
      </w:pPr>
      <w:r>
        <w:separator/>
      </w:r>
    </w:p>
  </w:endnote>
  <w:endnote w:type="continuationSeparator" w:id="0">
    <w:p w14:paraId="43CFCF7A" w14:textId="77777777" w:rsidR="00382EE5" w:rsidRDefault="0038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5DC8" w14:textId="77777777" w:rsidR="004F5CC9" w:rsidRDefault="00000000">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7DCD" w14:textId="77777777" w:rsidR="00382EE5" w:rsidRDefault="00382EE5">
      <w:pPr>
        <w:spacing w:after="0" w:line="240" w:lineRule="auto"/>
      </w:pPr>
      <w:r>
        <w:separator/>
      </w:r>
    </w:p>
  </w:footnote>
  <w:footnote w:type="continuationSeparator" w:id="0">
    <w:p w14:paraId="0818DB8A" w14:textId="77777777" w:rsidR="00382EE5" w:rsidRDefault="0038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B7AE" w14:textId="77777777" w:rsidR="004F5CC9" w:rsidRDefault="00000000">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351"/>
    <w:multiLevelType w:val="hybridMultilevel"/>
    <w:tmpl w:val="A52AE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1591"/>
    <w:multiLevelType w:val="hybridMultilevel"/>
    <w:tmpl w:val="0182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31844"/>
    <w:multiLevelType w:val="hybridMultilevel"/>
    <w:tmpl w:val="4AE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30A2"/>
    <w:multiLevelType w:val="hybridMultilevel"/>
    <w:tmpl w:val="7214F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8642E"/>
    <w:multiLevelType w:val="hybridMultilevel"/>
    <w:tmpl w:val="0598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A786B"/>
    <w:multiLevelType w:val="hybridMultilevel"/>
    <w:tmpl w:val="DDB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496316">
    <w:abstractNumId w:val="1"/>
  </w:num>
  <w:num w:numId="2" w16cid:durableId="1111053343">
    <w:abstractNumId w:val="4"/>
  </w:num>
  <w:num w:numId="3" w16cid:durableId="11759651">
    <w:abstractNumId w:val="2"/>
  </w:num>
  <w:num w:numId="4" w16cid:durableId="1199007218">
    <w:abstractNumId w:val="5"/>
  </w:num>
  <w:num w:numId="5" w16cid:durableId="1174997827">
    <w:abstractNumId w:val="1"/>
  </w:num>
  <w:num w:numId="6" w16cid:durableId="621614262">
    <w:abstractNumId w:val="3"/>
  </w:num>
  <w:num w:numId="7" w16cid:durableId="45379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7D"/>
    <w:rsid w:val="00043BB3"/>
    <w:rsid w:val="000C38A7"/>
    <w:rsid w:val="001140C0"/>
    <w:rsid w:val="00335032"/>
    <w:rsid w:val="00361DC7"/>
    <w:rsid w:val="00382EE5"/>
    <w:rsid w:val="003C5515"/>
    <w:rsid w:val="00495F70"/>
    <w:rsid w:val="00502F4E"/>
    <w:rsid w:val="00595010"/>
    <w:rsid w:val="005D1B4E"/>
    <w:rsid w:val="00644B7D"/>
    <w:rsid w:val="006A09E2"/>
    <w:rsid w:val="0072118F"/>
    <w:rsid w:val="007775CB"/>
    <w:rsid w:val="007B5740"/>
    <w:rsid w:val="009406E9"/>
    <w:rsid w:val="00980A3A"/>
    <w:rsid w:val="00A26390"/>
    <w:rsid w:val="00C1643A"/>
    <w:rsid w:val="00D57EAE"/>
    <w:rsid w:val="00DA75FB"/>
    <w:rsid w:val="00E07672"/>
    <w:rsid w:val="00E31F23"/>
    <w:rsid w:val="00E74285"/>
    <w:rsid w:val="00E8566C"/>
    <w:rsid w:val="00F25B12"/>
    <w:rsid w:val="00F3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CA03"/>
  <w15:chartTrackingRefBased/>
  <w15:docId w15:val="{2864B3ED-35B7-415C-BDFB-B0A997D7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44B7D"/>
  </w:style>
  <w:style w:type="table" w:styleId="TableGrid">
    <w:name w:val="Table Grid"/>
    <w:basedOn w:val="TableNormal"/>
    <w:uiPriority w:val="39"/>
    <w:rsid w:val="0064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44B7D"/>
    <w:pPr>
      <w:widowControl w:val="0"/>
      <w:spacing w:after="0" w:line="240" w:lineRule="auto"/>
      <w:ind w:left="116"/>
    </w:pPr>
    <w:rPr>
      <w:rFonts w:ascii="Arial" w:eastAsia="Arial" w:hAnsi="Arial"/>
      <w:sz w:val="20"/>
      <w:szCs w:val="20"/>
    </w:rPr>
  </w:style>
  <w:style w:type="character" w:customStyle="1" w:styleId="BodyTextChar">
    <w:name w:val="Body Text Char"/>
    <w:basedOn w:val="DefaultParagraphFont"/>
    <w:link w:val="BodyText"/>
    <w:uiPriority w:val="1"/>
    <w:rsid w:val="00644B7D"/>
    <w:rPr>
      <w:rFonts w:ascii="Arial" w:eastAsia="Arial" w:hAnsi="Arial"/>
      <w:sz w:val="20"/>
      <w:szCs w:val="20"/>
    </w:rPr>
  </w:style>
  <w:style w:type="paragraph" w:styleId="Header">
    <w:name w:val="header"/>
    <w:basedOn w:val="Normal"/>
    <w:link w:val="HeaderChar"/>
    <w:uiPriority w:val="99"/>
    <w:unhideWhenUsed/>
    <w:rsid w:val="00644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B7D"/>
  </w:style>
  <w:style w:type="paragraph" w:styleId="Footer">
    <w:name w:val="footer"/>
    <w:basedOn w:val="Normal"/>
    <w:link w:val="FooterChar"/>
    <w:uiPriority w:val="99"/>
    <w:unhideWhenUsed/>
    <w:rsid w:val="00644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B7D"/>
  </w:style>
  <w:style w:type="table" w:customStyle="1" w:styleId="TableGrid1">
    <w:name w:val="Table Grid1"/>
    <w:basedOn w:val="TableNormal"/>
    <w:next w:val="TableGrid"/>
    <w:uiPriority w:val="39"/>
    <w:rsid w:val="0064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4B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B7D"/>
    <w:rPr>
      <w:sz w:val="20"/>
      <w:szCs w:val="20"/>
    </w:rPr>
  </w:style>
  <w:style w:type="character" w:styleId="FootnoteReference">
    <w:name w:val="footnote reference"/>
    <w:basedOn w:val="DefaultParagraphFont"/>
    <w:uiPriority w:val="99"/>
    <w:semiHidden/>
    <w:unhideWhenUsed/>
    <w:rsid w:val="00644B7D"/>
    <w:rPr>
      <w:vertAlign w:val="superscript"/>
    </w:rPr>
  </w:style>
  <w:style w:type="paragraph" w:styleId="EndnoteText">
    <w:name w:val="endnote text"/>
    <w:basedOn w:val="Normal"/>
    <w:link w:val="EndnoteTextChar"/>
    <w:uiPriority w:val="99"/>
    <w:semiHidden/>
    <w:unhideWhenUsed/>
    <w:rsid w:val="00644B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B7D"/>
    <w:rPr>
      <w:sz w:val="20"/>
      <w:szCs w:val="20"/>
    </w:rPr>
  </w:style>
  <w:style w:type="character" w:styleId="EndnoteReference">
    <w:name w:val="endnote reference"/>
    <w:basedOn w:val="DefaultParagraphFont"/>
    <w:uiPriority w:val="99"/>
    <w:semiHidden/>
    <w:unhideWhenUsed/>
    <w:rsid w:val="00644B7D"/>
    <w:rPr>
      <w:vertAlign w:val="superscript"/>
    </w:rPr>
  </w:style>
  <w:style w:type="character" w:styleId="Emphasis">
    <w:name w:val="Emphasis"/>
    <w:basedOn w:val="DefaultParagraphFont"/>
    <w:uiPriority w:val="20"/>
    <w:qFormat/>
    <w:rsid w:val="00644B7D"/>
    <w:rPr>
      <w:i/>
      <w:iCs/>
    </w:rPr>
  </w:style>
  <w:style w:type="paragraph" w:styleId="ListParagraph">
    <w:name w:val="List Paragraph"/>
    <w:basedOn w:val="Normal"/>
    <w:uiPriority w:val="34"/>
    <w:qFormat/>
    <w:rsid w:val="00644B7D"/>
    <w:pPr>
      <w:spacing w:after="0" w:line="480" w:lineRule="auto"/>
      <w:ind w:left="720"/>
      <w:contextualSpacing/>
    </w:pPr>
  </w:style>
  <w:style w:type="character" w:styleId="CommentReference">
    <w:name w:val="annotation reference"/>
    <w:basedOn w:val="DefaultParagraphFont"/>
    <w:uiPriority w:val="99"/>
    <w:semiHidden/>
    <w:unhideWhenUsed/>
    <w:rsid w:val="00644B7D"/>
    <w:rPr>
      <w:sz w:val="16"/>
      <w:szCs w:val="16"/>
    </w:rPr>
  </w:style>
  <w:style w:type="paragraph" w:styleId="CommentText">
    <w:name w:val="annotation text"/>
    <w:basedOn w:val="Normal"/>
    <w:link w:val="CommentTextChar"/>
    <w:uiPriority w:val="99"/>
    <w:unhideWhenUsed/>
    <w:rsid w:val="00644B7D"/>
    <w:pPr>
      <w:spacing w:after="0" w:line="240" w:lineRule="auto"/>
    </w:pPr>
    <w:rPr>
      <w:sz w:val="20"/>
      <w:szCs w:val="20"/>
    </w:rPr>
  </w:style>
  <w:style w:type="character" w:customStyle="1" w:styleId="CommentTextChar">
    <w:name w:val="Comment Text Char"/>
    <w:basedOn w:val="DefaultParagraphFont"/>
    <w:link w:val="CommentText"/>
    <w:uiPriority w:val="99"/>
    <w:rsid w:val="00644B7D"/>
    <w:rPr>
      <w:sz w:val="20"/>
      <w:szCs w:val="20"/>
    </w:rPr>
  </w:style>
  <w:style w:type="paragraph" w:styleId="CommentSubject">
    <w:name w:val="annotation subject"/>
    <w:basedOn w:val="CommentText"/>
    <w:next w:val="CommentText"/>
    <w:link w:val="CommentSubjectChar"/>
    <w:uiPriority w:val="99"/>
    <w:semiHidden/>
    <w:unhideWhenUsed/>
    <w:rsid w:val="00644B7D"/>
    <w:rPr>
      <w:b/>
      <w:bCs/>
    </w:rPr>
  </w:style>
  <w:style w:type="character" w:customStyle="1" w:styleId="CommentSubjectChar">
    <w:name w:val="Comment Subject Char"/>
    <w:basedOn w:val="CommentTextChar"/>
    <w:link w:val="CommentSubject"/>
    <w:uiPriority w:val="99"/>
    <w:semiHidden/>
    <w:rsid w:val="00644B7D"/>
    <w:rPr>
      <w:b/>
      <w:bCs/>
      <w:sz w:val="20"/>
      <w:szCs w:val="20"/>
    </w:rPr>
  </w:style>
  <w:style w:type="paragraph" w:styleId="Revision">
    <w:name w:val="Revision"/>
    <w:hidden/>
    <w:uiPriority w:val="99"/>
    <w:semiHidden/>
    <w:rsid w:val="00E31F23"/>
    <w:pPr>
      <w:spacing w:after="0" w:line="240" w:lineRule="auto"/>
    </w:pPr>
  </w:style>
  <w:style w:type="character" w:styleId="Hyperlink">
    <w:name w:val="Hyperlink"/>
    <w:basedOn w:val="DefaultParagraphFont"/>
    <w:uiPriority w:val="99"/>
    <w:unhideWhenUsed/>
    <w:rsid w:val="006A0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cialexplorer.com/explore-tab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package=starga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xiv.org/abs/1508.01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42</Pages>
  <Words>10032</Words>
  <Characters>57185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Mleczko</dc:creator>
  <cp:keywords/>
  <dc:description/>
  <cp:lastModifiedBy>Matt Mleczko</cp:lastModifiedBy>
  <cp:revision>6</cp:revision>
  <dcterms:created xsi:type="dcterms:W3CDTF">2023-03-24T20:20:00Z</dcterms:created>
  <dcterms:modified xsi:type="dcterms:W3CDTF">2023-03-24T20:34:00Z</dcterms:modified>
</cp:coreProperties>
</file>