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120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FACULDADE DE INFORMÁTICA E ADMINISTRAÇÃO PAULISTA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Tecnólogo em Inteligência Artificial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2TIAPY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1º Semestre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110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GLOBAL SOLUTION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Integração dos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Governança em IA e Business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80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William Stahl Sanches Furquim Garcia — RM 562800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90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Paulo Gabriel Pessoa da Silva — RM 566446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São Paulo —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70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William Stahl Sanches Furquim Garcia — RM 562800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50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Paulo Gabriel Pessoa da Silva — RM 566446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GLOBAL SOLUTION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Integração dos Módulos — Governança em IA e Business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10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0"/>
          <w:szCs w:val="20"/>
          <w:rtl w:val="0"/>
        </w:rPr>
        <w:t xml:space="preserve">Relatório de integração apresentado à FIAP como requisito parcial da disciplina de Governança em IA e Business Analytics, do curso de Tecnólogo em Inteligência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São Paulo —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Lista de Quadros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Quadro 1 — Status de integração dos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Quadro 2 — ODS da ONU atendidos pela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Quadro 3 — Links de entrega dos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before="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1 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2  Visão Computacional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3  Computação Quântica 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4  Computação Neuromórfica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5  IoT — Physical Computing e Cognitive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6  NLP — RAG Edifícios Verdes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7  IA Generativa — SpaceRAG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8  AI for RPA — 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9  Front-end — ClímaGuard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10 Governança em IA e Business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11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before="3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12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 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Este relatório apresenta os módulos desenvolvidos na Global Solution 2026.1 do curso de Tecnólogo em Inteligência Artificial da FIAP, no contexto da disciplina de Governança em IA e Business Analytics. O trabalho reúne as entregas de oito disciplinas do semestre, cada uma abordando uma tecnologia distinta dentro do campo da inteligência artificial e sistemas computacionais.</w:t>
      </w:r>
    </w:p>
    <w:p w:rsidR="00000000" w:rsidDel="00000000" w:rsidP="00000000" w:rsidRDefault="00000000" w:rsidRPr="00000000" w14:paraId="00000026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eixo temático que orienta o conjunto das soluções é o monitoramento e a prevenção de riscos climáticos e ambientais. Esse tema foi escolhido por sua relevância direta com os Objetivos de Desenvolvimento Sustentável da ONU, em particular o ODS 9, voltado à inovação e infraestrutura; o ODS 11, que trata de cidades e comunidades sustentáveis; e o ODS 13, dedicado à ação contra a mudança global do clima. A escolha de um eixo temático comum teve como propósito dar coerência ao conjunto das entregas e permitir que cada módulo ocupasse um papel funcional dentro de uma arquitetura maior.</w:t>
      </w:r>
    </w:p>
    <w:p w:rsidR="00000000" w:rsidDel="00000000" w:rsidP="00000000" w:rsidRDefault="00000000" w:rsidRPr="00000000" w14:paraId="00000027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Cada disciplina contribuiu com uma camada distinta dessa arquitetura. O módulo de IoT representa a camada de coleta física de dados em borda, com sensores conectados via MQTT. A Computação Neuromórfica atua como processamento local de eventos críticos, reduzindo o volume de dados transmitidos. A Visão Computacional fornece a classificação de risco a partir de imagens de satélite. Os módulos de NLP e IA Generativa entregam assistentes especializados com rastreabilidade de fontes. O módulo de RPA orquestra a coleta e análise automática de dados de APIs públicas. E o Front-end reúne todas essas informações em um dashboard interativo voltado ao usuário final.</w:t>
      </w:r>
    </w:p>
    <w:p w:rsidR="00000000" w:rsidDel="00000000" w:rsidP="00000000" w:rsidRDefault="00000000" w:rsidRPr="00000000" w14:paraId="00000028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  Visão Computacional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240" w:before="240" w:line="276" w:lineRule="auto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O módulo de Visão Computacional teve como objetivo desenvolver um sistema de classificação de imagens de satélite para identificação de áreas com risco de incêndio florestal. O dataset utilizado foi o Wildfire Prediction Dataset, disponível na plataforma Kaggle, composto por cerca de 42 mil imagens distribuídas em duas classes: Wildfire e No Wildfire. As imagens foram divididas em conjuntos de treino, validação e teste seguindo a proporção original do dataset.</w:t>
      </w:r>
    </w:p>
    <w:p w:rsidR="00000000" w:rsidDel="00000000" w:rsidP="00000000" w:rsidRDefault="00000000" w:rsidRPr="00000000" w14:paraId="0000002E">
      <w:pPr>
        <w:pStyle w:val="Heading2"/>
        <w:spacing w:after="240" w:before="240" w:line="276" w:lineRule="auto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A arquitetura escolhida foi a EfficientNetB0, aplicada com a técnica de transfer learning a partir de pesos pré-treinados na ImageNet. Essa escolha se justifica pelo equilíbrio entre eficiência computacional e desempenho: a EfficientNetB0 é uma rede leve em comparação com arquiteturas maiores, o que viabilizou o treinamento no ambiente gratuito do Google Colab com GPU T4 sem estourar os limites de memória ou tempo de sessão.</w:t>
      </w:r>
    </w:p>
    <w:p w:rsidR="00000000" w:rsidDel="00000000" w:rsidP="00000000" w:rsidRDefault="00000000" w:rsidRPr="00000000" w14:paraId="0000002F">
      <w:pPr>
        <w:pStyle w:val="Heading2"/>
        <w:spacing w:after="240" w:before="240" w:line="276" w:lineRule="auto"/>
        <w:rPr>
          <w:color w:val="000000"/>
        </w:rPr>
      </w:pPr>
      <w:bookmarkStart w:colFirst="0" w:colLast="0" w:name="_k3lt69k9onv8" w:id="0"/>
      <w:bookmarkEnd w:id="0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O processo de treinamento envolveu duas etapas. Na primeira, as camadas da base convolucional foram congeladas e apenas as camadas superiores foram treinadas, permitindo que o modelo aprendesse a tarefa específica sem perder os padrões visuais aprendidos na ImageNet. Na segunda etapa, foi realizado o fine-tuning das últimas camadas da rede, ajustando os pesos para as características visuais do dataset de incêndios. Durante todo o processo, foram aplicadas técnicas de data augmentation  rotação, espelhamento horizontal e variação de brilho para aumentar a diversidade dos dados de treino e reduzir o overfitting.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 modelo retorna uma classificação binária de risco por imagem, consumida pelo ClímaGuard como indicador visual. O módulo ARIA pode acionar o classificador automaticamente a cada novo lote de imagens.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13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Ação contra a mudança global do clima.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  Computação Quântica 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módulo de Computação Quântica e IA teve como objetivo explorar a aplicação de algoritmos de Quantum Machine Learning (QML) em um problema de classificação relacionado ao contexto de monitoramento ambiental. A implementação foi realizada com o framework Qiskit 1.x, que oferece as ferramentas necessárias para construção, simulação e execução de circuitos quânticos em ambientes clássicos de desenvolvimento.</w:t>
      </w:r>
    </w:p>
    <w:p w:rsidR="00000000" w:rsidDel="00000000" w:rsidP="00000000" w:rsidRDefault="00000000" w:rsidRPr="00000000" w14:paraId="00000037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Foram implementados dois classificadores quânticos. O primeiro foi o Quantum Support Vector Classifier (QSVC), que adapta a lógica do SVM clássico para o espaço de características quântico, utilizando um kernel quântico para calcular a similaridade entre os dados. O segundo foi o Variational Quantum Classifier (VQC), um modelo baseado em circuitos parametrizados que são otimizados de forma iterativa, de modo similar ao treinamento de redes neurais clássicas.</w:t>
      </w:r>
    </w:p>
    <w:p w:rsidR="00000000" w:rsidDel="00000000" w:rsidP="00000000" w:rsidRDefault="00000000" w:rsidRPr="00000000" w14:paraId="00000038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Para avaliar o desempenho dos modelos quânticos de forma objetiva, os resultados foram comparados com dois classificadores clássicos amplamente utilizados: o Support Vector Machine (SVM) e o Random Forest. As métricas adotadas na comparação foram AUC-ROC, para avaliar a capacidade de separação entre as classes; F1-score, para medir o equilíbrio entre precisão e recall; e tempo de treinamento, para dimensionar o custo computacional de cada abordagem.</w:t>
      </w:r>
    </w:p>
    <w:p w:rsidR="00000000" w:rsidDel="00000000" w:rsidP="00000000" w:rsidRDefault="00000000" w:rsidRPr="00000000" w14:paraId="00000039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Essa comparação teve como propósito não defender o uso do QML como solução superior, mas sim estabelecer uma base honesta de análise sobre o estágio atual da tecnologia. Os resultados evidenciaram que, na configuração testada, os classificadores clássicos apresentaram desempenho equivalente ou superior aos quânticos em menos tempo de processamento, o que está alinhado com o que a literatura técnica descreve para problemas de escala reduzida nesta fase de maturidade do QML.</w:t>
      </w:r>
    </w:p>
    <w:p w:rsidR="00000000" w:rsidDel="00000000" w:rsidP="00000000" w:rsidRDefault="00000000" w:rsidRPr="00000000" w14:paraId="0000003A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 módulo foi desenvolvido de forma independente. A maturidade experimental do QML não permitiu a definição de um ponto de consumo direto nos demais módulos dentro do prazo. O benchmark está documentado no repositório como trabalho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9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Indústria, inovação e infraestrutura.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  Computação Neuromórfica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módulo de Computação Neuromórfica propôs e implementou um sensor embarcado inspirado no funcionamento do sistema nervoso biológico, aplicado ao monitoramento de condições críticas em um rover lunar autônomo. O cenário foi escolhido por representar um ambiente onde a comunicação com a Terra é limitada e intermitente, o que torna o processamento local e a redução do volume de dados transmitidos requisitos fundamentais de projeto.</w:t>
      </w:r>
    </w:p>
    <w:p w:rsidR="00000000" w:rsidDel="00000000" w:rsidP="00000000" w:rsidRDefault="00000000" w:rsidRPr="00000000" w14:paraId="00000042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sensor monitora três variáveis físicas do ambiente: temperatura interna do rover, nível de radiação cósmica e percentual de poeira lunar acumulada nos painéis solares. Essas variáveis são combinadas em um índice de risco ponderado, com pesos de 45%, 35% e 20% respectivamente, refletindo a criticidade relativa de cada fator para a operação do equipamento. Esse índice alimenta uma memória resistiva virtual, o memristor, que acumula o histórico de risco ao longo do tempo em vez de reagir apenas ao valor instantâneo de cada leitura.</w:t>
      </w:r>
    </w:p>
    <w:p w:rsidR="00000000" w:rsidDel="00000000" w:rsidP="00000000" w:rsidRDefault="00000000" w:rsidRPr="00000000" w14:paraId="00000043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comportamento de disparo do sistema segue uma lógica neuromórfica: alertas são emitidos somente quando o risco acumulado supera limiares definidos, evitando falsos positivos causados por picos momentâneos. O sistema opera em três estados — normal, observação e alerta crítico — sinalizados por LED apagado, amarelo e vermelho, respectivamente. A principal vantagem arquitetural está no protocolo de transmissão: apenas as transições entre estados são enviadas por satélite, reduzindo de forma expressiva o volume de dados transmitidos em comparação com o envio contínuo de leituras brutas.</w:t>
      </w:r>
    </w:p>
    <w:p w:rsidR="00000000" w:rsidDel="00000000" w:rsidP="00000000" w:rsidRDefault="00000000" w:rsidRPr="00000000" w14:paraId="00000044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Representa a camada de borda da solução. Os eventos de alerta alimentam o módulo IoT, que os propaga via MQTT para o ClímaGuard.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9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Indústria, inovação e infraestrutura; ODS 13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Ação climática.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  IoT — Physical Computing e Cognitive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módulo de IoT desenvolveu uma solução completa de coleta, transmissão e visualização de dados ambientais em tempo real, com foco em variáveis relevantes para monitoramento de condições de cultivo e risco climático. O hardware utilizado foi um microcontrolador ESP32, integrado a três tipos de sensores: o DHT22, responsável pela leitura de temperatura e umidade do ar; o LDR, para medição da luminosidade ambiente; e um higrômetro capacitivo, para leitura da umidade do solo.</w:t>
      </w:r>
    </w:p>
    <w:p w:rsidR="00000000" w:rsidDel="00000000" w:rsidP="00000000" w:rsidRDefault="00000000" w:rsidRPr="00000000" w14:paraId="0000004C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Por ser um projeto de simulação, o circuito foi montado e testado na plataforma Wokwi, que permite emular o comportamento do ESP32 e dos sensores conectados sem necessidade de hardware físico. O firmware foi desenvolvido com o framework Arduino e gerenciado via PlatformIO, utilizando a biblioteca PubSubClient para comunicação MQTT.</w:t>
      </w:r>
    </w:p>
    <w:p w:rsidR="00000000" w:rsidDel="00000000" w:rsidP="00000000" w:rsidRDefault="00000000" w:rsidRPr="00000000" w14:paraId="0000004D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Os dados coletados são publicados no tópico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iot/aluno/gsFiasco</w:t>
      </w:r>
      <w:r w:rsidDel="00000000" w:rsidR="00000000" w:rsidRPr="00000000">
        <w:rPr>
          <w:rtl w:val="0"/>
        </w:rPr>
        <w:t xml:space="preserve"> do broker público HiveMQ e consumidos por um flow no Node-RED, que os desdobra em quatro canais independentes — temperatura, umidade do ar, umidade do solo e luminosidade — exibidos em gauges e gráficos de linha em tempo real. O sistema conta ainda com lógica de alertas automáticos: quando a temperatura supera 30°C ou a umidade do solo cai abaixo de 1000, uma notificação é enviada via Telegram ao operador responsável. Adicionalmente, um script Python é executado automaticamente a cada hora pelo Node-RED, conecta ao banco InfluxDB, extrai os dados da última hora, gera um gráfico de evolução temporal e compila tudo em um relatório PDF que é despachado também via Telegram.</w:t>
      </w:r>
    </w:p>
    <w:p w:rsidR="00000000" w:rsidDel="00000000" w:rsidP="00000000" w:rsidRDefault="00000000" w:rsidRPr="00000000" w14:paraId="0000004E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Ponto de coleta física da solução. Os dados transmitidos via MQTT chegam à nuvem e podem ser consumidos pelo ClímaGuard. Os alertas do sensor neuromórfico podem acionar notificações automáticas neste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9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Indústria, inovação e infraestrutura; ODS 11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Cidades e comunidades sustentáveis.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6  NLP — RAG Edifícios Verdes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módulo de NLP construiu um assistente técnico especializado no domínio de edifícios verdes e construção sustentável, capaz de responder perguntas sobre eficiência energética, gestão hídrica, conforto térmico e certificações como LEED, AQUA-HQE e GBC Brasil. A arquitetura adotada foi RAG (Retrieval-Augmented Generation), que combina busca semântica em uma base de documentos com geração de texto por um modelo de linguagem, garantindo que cada resposta seja fundamentada em fontes verificáveis.</w:t>
      </w:r>
    </w:p>
    <w:p w:rsidR="00000000" w:rsidDel="00000000" w:rsidP="00000000" w:rsidRDefault="00000000" w:rsidRPr="00000000" w14:paraId="00000056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corpus foi composto por 10 documentos técnicos de domínio público, abrangendo normas, guias e relatórios das principais referências da área, incluindo a ABNT NBR 15575. Esses documentos foram segmentados em 19 chunks com overlap de 64 tokens e tamanho máximo de 512 tokens por chunk, equilibrando granularidade e contexto em cada trecho recuperado. Os embeddings foram gerados com o modelo paraphrase-multilingual-mpnet-base-v2, de dimensão 768, escolhido por sua eficiência em textos multilíngues — importante dado que parte dos documentos técnicos está em português. Os vetores foram armazenados no ChromaDB com persistência em disco, permitindo que a base não precise ser reprocessada a cada execução.</w:t>
      </w:r>
    </w:p>
    <w:p w:rsidR="00000000" w:rsidDel="00000000" w:rsidP="00000000" w:rsidRDefault="00000000" w:rsidRPr="00000000" w14:paraId="00000057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camada generativa utiliza o modelo Llama 3.3 70B via API da Groq, que oferece latência baixa mesmo para modelos de grande porte. O assistente foi instruído a citar obrigatoriamente a fonte de cada informação fornecida, eliminando o risco de alucinações e permitindo que o usuário verifique a origem de qualquer dado. A avaliação foi realizada com um conjunto de 10 perguntas técnicas representativas do domínio, resultando em 80% de respostas corretas com fonte verificada e nenhum caso de informação inventada pelo modelo.</w:t>
      </w:r>
    </w:p>
    <w:p w:rsidR="00000000" w:rsidDel="00000000" w:rsidP="00000000" w:rsidRDefault="00000000" w:rsidRPr="00000000" w14:paraId="00000058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Módulo consultivo acessível pelo ClímaGuard. Acionado quando o usuário precisa de orientações técnicas sobre edificações sustentáveis relacionadas ao contexto climático monitorado.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11 </w:t>
      </w:r>
      <w:r w:rsidDel="00000000" w:rsidR="00000000" w:rsidRPr="00000000">
        <w:rPr>
          <w:i w:val="1"/>
          <w:iCs w:val="1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Cidades e comunidades sustentáveis.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7  IA Generativa — SpaceRAG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módulo de IA Generativa desenvolveu o SpaceRAG, um assistente inteligente com arquitetura RAG voltado ao domínio da nova economia espacial. O sistema foi projetado para responder perguntas sobre relatórios técnicos da NASA e da ESA, dados de monitoramento ambiental por satélite, missões espaciais e o papel das agências espaciais no estudo das mudanças climáticas.</w:t>
      </w:r>
    </w:p>
    <w:p w:rsidR="00000000" w:rsidDel="00000000" w:rsidP="00000000" w:rsidRDefault="00000000" w:rsidRPr="00000000" w14:paraId="00000060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arquitetura segue o mesmo padrão do módulo de NLP: ingestão e segmentação de documentos, geração de embeddings, armazenamento em banco vetorial e camada generativa com modelo de linguagem. A diferença está no corpus e no domínio de especialização. O SpaceRAG trabalha com documentos do setor espacial, o que exige que o sistema lide com terminologia técnica específica e com referências a dados quantitativos de missões e instrumentos científicos.</w:t>
      </w:r>
    </w:p>
    <w:p w:rsidR="00000000" w:rsidDel="00000000" w:rsidP="00000000" w:rsidRDefault="00000000" w:rsidRPr="00000000" w14:paraId="00000061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princípio de rastreabilidade é central no projeto: toda resposta gerada cita a fonte consultada, de forma que o usuário pode verificar a origem da informação e o modelo não inventa dados sobre missões ou descobertas científicas. Esse aspecto é especialmente relevante no domínio espacial, onde números e datas precisas têm peso técnico e a desinformação pode comprometer a credibilidade do sistema.</w:t>
      </w:r>
    </w:p>
    <w:p w:rsidR="00000000" w:rsidDel="00000000" w:rsidP="00000000" w:rsidRDefault="00000000" w:rsidRPr="00000000" w14:paraId="00000062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Complementa o assistente de edifícios verdes com domínio espacial. No ClímaGuard, pode ser acionado para contextualizar eventos climáticos com dados de agências espaciais. Ambos os assistentes RAG compartilham a mesma arquitetura.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13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Ação contra a mudança global do clima.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8  AI for RPA — 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ARIA (Automated Reconnaissance and Intelligence for Astronomy) é um pipeline de automação inteligente desenvolvido para coleta, análise e distribuição de dados espaciais em tempo real, sem necessidade de intervenção manual em nenhuma etapa do processo. O projeto integra ao menos dois temas centrais do semestre: automação de processos via RPA e análise de dados com modelos de linguagem locais.</w:t>
      </w:r>
    </w:p>
    <w:p w:rsidR="00000000" w:rsidDel="00000000" w:rsidP="00000000" w:rsidRDefault="00000000" w:rsidRPr="00000000" w14:paraId="0000006A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pipeline executa uma sequência de etapas de forma encadeada. A coleta de dados é feita a partir de três fontes públicas: a Spaceflight News API, que fornece notícias recentes do setor espacial; a API de objetos próximos da Terra (NEOs) da NASA, que retorna dados sobre asteroides e cometas com trajetória próxima ao planeta; e a API Open Notify, que registra a posição geográfica atual da Estação Espacial Internacional em tempo real. Os dados coletados são então analisados pelo modelo Llama 3.2 rodando localmente via Ollama, o que elimina a dependência de APIs externas pagas para a etapa de inferência e mantém os dados dentro do ambiente controlado.</w:t>
      </w:r>
    </w:p>
    <w:p w:rsidR="00000000" w:rsidDel="00000000" w:rsidP="00000000" w:rsidRDefault="00000000" w:rsidRPr="00000000" w14:paraId="0000006B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Os resultados da análise são persistidos em um banco SQLite local e exportados automaticamente em quatro formatos: CSV, JSON, TXT e XLSX, atendendo a diferentes perfis de consumo downstream. Por fim, o ARIA expõe uma API REST desenvolvida em Flask, que permite consultar os dados coletados e analisados por qualquer outro sistema, incluindo o dashboard ClímaGuard.</w:t>
      </w:r>
    </w:p>
    <w:p w:rsidR="00000000" w:rsidDel="00000000" w:rsidP="00000000" w:rsidRDefault="00000000" w:rsidRPr="00000000" w14:paraId="0000006C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Atua como orquestrador da pipeline. Pode acionar o modelo de Visão Computacional a cada novo lote de imagens e alimentar o ClímaGuard com dados analisados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9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Indústria, inovação e infraestrutura.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9  Front-end em Sistemas de IA — ClímaGuard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Global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O ClímaGuard é um dashboard interativo de monitoramento de desastres climáticos desenvolvido em Streamlit, com o objetivo de centralizar informações sobre eventos como enchentes, secas, deslizamentos e ciclones em uma interface acessível para tomada de decisão. O sistema permite que o usuário filtre os dados por tipo de evento, período e região, visualizando os resultados em gráficos de barras comparativos, linha do tempo de eventos e mapa de calor por região geográfica, todos renderizados com Plotly.</w:t>
      </w:r>
    </w:p>
    <w:p w:rsidR="00000000" w:rsidDel="00000000" w:rsidP="00000000" w:rsidRDefault="00000000" w:rsidRPr="00000000" w14:paraId="00000074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arquitetura do projeto foi pensada para separar responsabilidades de forma clara entre as camadas da aplicação. Os providers centralizam o acesso aos dados e implementam cache de cinco minutos via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@st.cache_data</w:t>
      </w:r>
      <w:r w:rsidDel="00000000" w:rsidR="00000000" w:rsidRPr="00000000">
        <w:rPr>
          <w:rtl w:val="0"/>
        </w:rPr>
        <w:t xml:space="preserve">, evitando requisições repetidas a cada interação do usuário. Os pipelines tratam da transformação e agregação dos dados antes de chegarem à camada de visualização. As features encapsulam os componentes de UI de forma reutilizável. O gerenciamento de estado é feito de forma centralizada via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st.session_state</w:t>
      </w:r>
      <w:r w:rsidDel="00000000" w:rsidR="00000000" w:rsidRPr="00000000">
        <w:rPr>
          <w:rtl w:val="0"/>
        </w:rPr>
        <w:t xml:space="preserve">, com uma camada de abstração própria que padroniza o acesso e a gravação de valores entre reruns do Streamlit. Os testes unitários foram escritos de forma independente da interface, o que permite validar a lógica de negócio sem precisar instanciar o app completo.</w:t>
      </w:r>
    </w:p>
    <w:p w:rsidR="00000000" w:rsidDel="00000000" w:rsidP="00000000" w:rsidRDefault="00000000" w:rsidRPr="00000000" w14:paraId="0000007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Do ponto de vista da integração, o ClímaGuard foi projetado para ser a interface central da solução. O componente de feedback humano incorporado ao dashboard exige que um operador aprove ou rejeite alertas antes de qualquer ação ser disparada, aplicando na prática o princípio de supervisão humana em sistemas de IA.</w:t>
      </w:r>
    </w:p>
    <w:p w:rsidR="00000000" w:rsidDel="00000000" w:rsidP="00000000" w:rsidRDefault="00000000" w:rsidRPr="00000000" w14:paraId="00000076">
      <w:pPr>
        <w:spacing w:after="80" w:before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Interface central da solução integrada. Reúne em um único painel a classificação de risco da Visão Computacional, alertas do IoT, consultas aos assistentes RAG e dados do ARIA. O componente de feedback humano exige aprovação antes de qualquer ação, incorporando supervisão humana na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ODS 11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Cidades e comunidades sustentáveis; ODS 13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2"/>
          <w:szCs w:val="22"/>
          <w:rtl w:val="0"/>
        </w:rPr>
        <w:t xml:space="preserve"> Ação climática.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10  Governança em IA e Business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na disciplina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Avaliar a integração entre os módulos do Global Solution, identificar quais foram efetivamente conectados à solução final, analisar a aderência aos ODS da ONU e discutir as decisões técnicas e éticas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Status de 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Quadro 1 — Status de integração dos módulos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1200"/>
        <w:gridCol w:w="4600"/>
        <w:tblGridChange w:id="0">
          <w:tblGrid>
            <w:gridCol w:w="3400"/>
            <w:gridCol w:w="12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Módulo / 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Visão Computacional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Saída de classificação consumida pelo ClímaGuard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Computação Quântica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Desenvolvido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Computação Neuromórfica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Eventos de alerta alimentam o módulo IoT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IoT — Physical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Coleta via ESP32/MQTT; dados disponíveis ao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NLP / RAG Edifícios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Assistente consultivo acessível pelo ClímaGuard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IA Generativa SpaceRAG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Segundo assistente RAG — domínio espacial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AI for RPA (ARIA)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Orquestra pipeline de coleta e análise automática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Front-end (ClímaGuard)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Interface central que reúne todos os módulos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40" w:before="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Fonte: elaboração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 módulo de Computação Quântica foi o único não integrado ao fluxo operacional da solução. A maturidade experimental do QML e o prazo do semestre não permitiram a definição de um ponto de consumo direto. O módulo foi desenvolvido e está documentado; a integração é trabalho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ODS atendidos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Quadro 2 — ODS da ONU atendidos pela solução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600"/>
        <w:tblGridChange w:id="0">
          <w:tblGrid>
            <w:gridCol w:w="46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Módulos contemplados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ODS 9 — Indústria, inovação e 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Neuromórfica, AI for RPA, Computação Quântica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ODS 11 — Cidades e comunidades sustentáveis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IoT, Front-end (ClímaGuard), NLP/RAG Edifícios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ODS 13 — Ação contra a mudança global do clima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Visão Computacional, IA Generativa, Front-end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40" w:before="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Fonte: elaboração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00" w:before="2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Decisões técnicas e éticas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 principal decisão de arquitetura foi adotar o Streamlit como interface central, permitindo prototipação rápida e integração nativa com as bibliotecas Python dos demais módulos. O cache via @st.cache_data garante que os dados não sejam rebuscados a cada interação.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Dois princípios éticos guiaram o projeto: supervisão humana — o ClímaGuard exige aprovação antes de qualquer ação ser tomada; e rastreabilidade — os dois assistentes RAG citam obrigatoriamente a fonte de cada dado, eliminando alucinações. A solução não coleta dados pessoais e usa exclusivamente fontes públicas.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11 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A Global Solution 2026.1 permitiu conectar na prática tecnologias estudadas de forma independente ao longo do semestre. O processo de integração mostrou que cada módulo tem um papel funcional claro e que a escolha de um eixo temático coerente — o monitoramento de riscos climáticos — facilitou as conexões entre 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 maior aprendizado foi perceber que a integração vai além do aspecto técnico: exige decisões sobre arquitetura, fluxo de dados entre camadas e onde inserir o controle humano no sistema. O componente de feedback do ClímaGuard e a rastreabilidade dos assistentes RAG são exemplos concretos dessas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 módulo de Computação Quântica ficou como ponto aberto. O QML ainda está em fase experimental e sua integração a um pipeline produtivo exige infraestrutura e prazo que não estavam disponíveis neste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No resultado geral, a solução funciona. A maioria dos módulos conecta-se de forma real ao ClímaGuard, e o trabalho reforçou que IA responsável começa nas escolhas de design, não apenas no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160" w:before="300" w:line="276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12 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O Quadro 3 reúne os links de entrega de todos os módulos. Os itens marcados como 'A preencher antes da entrega' devem ser atualizados com os endereços definitivos do vídeo de integração e do repositório GitHub do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before="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Quadro 3 — Links de entrega dos módulos</w:t>
      </w: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5"/>
        <w:gridCol w:w="5925"/>
        <w:tblGridChange w:id="0">
          <w:tblGrid>
            <w:gridCol w:w="3195"/>
            <w:gridCol w:w="5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Módulo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08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Visão Computacional — vídeo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https://youtu.be/qS2mrb6seUo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Computação Quântica — vídeo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https://youtu.be/qS2mrb6seUo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Neuromórfica — relatório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Incluído no repositório de integração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IoT — vídeo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https://youtu.be/AQRvqnvpKSY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NLP / RAG Edifícios — vídeo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https://youtu.be/VzHm4r4-7cs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NLP / RAG Edifícios — Colab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https://colab.research.google.com/drive/1FEtYMCBF03pra91K8JKXOZQzkkSjuhZ4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IA Generativa SpaceRAG — vídeo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https://youtu.be/dXBxFxXtJ0M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IA Generativa SpaceRAG —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https://github.com/biellpessoa/GenAI-GS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AI for RPA (ARIA) —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https://github.com/biellpessoa/GS_Automation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Front-end ClímaGuard —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https://github.com/biellpessoa/climaguard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Vídeo de Integração — YouTube (não listado)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https://youtu.be/s1iuzgm04GU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Repositório de Integração —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hyperlink r:id="rId6">
              <w:r w:rsidDel="00000000" w:rsidR="00000000" w:rsidRPr="00000000">
                <w:rPr>
                  <w:sz w:val="19"/>
                  <w:szCs w:val="19"/>
                  <w:rtl w:val="0"/>
                </w:rPr>
                <w:t xml:space="preserve">WilliamCoopera78/GS2026-Integracao-WilliamPaulo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40" w:before="6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Fonte: elaboração própria (2026).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701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top w:color="003087" w:space="1" w:sz="4" w:val="single"/>
      </w:pBdr>
      <w:spacing w:after="0"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William Garcia (RM 562800) | Paulo Gabriel (RM 566446) — 2TIAPY — 2026    Página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Bdr>
        <w:bottom w:color="003087" w:space="1" w:sz="4" w:val="single"/>
      </w:pBdr>
      <w:spacing w:after="80" w:before="0" w:lineRule="auto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Global Solution 2026.1 — Governança em IA e Business Analytics — FIAP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3087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3087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illiamCoopera78/GS2026-Integracao-WilliamPaulo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