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 w:line="276" w:lineRule="auto"/>
        <w:jc w:val="center"/>
      </w:pPr>
      <w:r>
        <w:rPr>
          <w:rFonts w:ascii="Arial" w:cs="Arial" w:eastAsia="Arial" w:hAnsi="Arial"/>
          <w:b/>
          <w:bCs/>
          <w:color w:val="003087"/>
          <w:sz w:val="22"/>
          <w:szCs w:val="22"/>
        </w:rPr>
        <w:t xml:space="preserve">FIAP — FACULDADE DE INFORMÁTICA E ADMINISTRAÇÃO PAULISTA</w:t>
      </w:r>
    </w:p>
    <w:p>
      <w:pPr>
        <w:spacing w:after="80" w:before="80" w:line="276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Tecnólogo em Inteligência Artificial — 2TIAPY — 1º Semestre de 2026</w:t>
      </w:r>
    </w:p>
    <w:p>
      <w:pPr>
        <w:spacing w:after="160" w:before="1100" w:line="276" w:lineRule="auto"/>
        <w:jc w:val="center"/>
      </w:pPr>
      <w:r>
        <w:rPr>
          <w:rFonts w:ascii="Arial" w:cs="Arial" w:eastAsia="Arial" w:hAnsi="Arial"/>
          <w:b/>
          <w:bCs/>
          <w:color w:val="E31837"/>
          <w:sz w:val="44"/>
          <w:szCs w:val="44"/>
        </w:rPr>
        <w:t xml:space="preserve">GLOBAL SOLUTION 2026.1</w:t>
      </w:r>
    </w:p>
    <w:p>
      <w:pPr>
        <w:spacing w:after="80" w:before="80" w:line="276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30"/>
          <w:szCs w:val="30"/>
        </w:rPr>
        <w:t xml:space="preserve">Integração dos Módulos</w:t>
      </w:r>
    </w:p>
    <w:p>
      <w:pPr>
        <w:spacing w:after="600" w:before="80" w:line="276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6"/>
          <w:szCs w:val="26"/>
        </w:rPr>
        <w:t xml:space="preserve">Governança em IA e Business Analytics</w:t>
      </w:r>
    </w:p>
    <w:p>
      <w:pPr>
        <w:spacing w:after="100" w:before="800" w:line="276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Integrantes</w:t>
      </w:r>
    </w:p>
    <w:p>
      <w:pPr>
        <w:spacing w:after="60" w:before="80" w:line="276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William Stahl Sanches Furquim Garcia — RM 562800</w:t>
      </w:r>
    </w:p>
    <w:p>
      <w:pPr>
        <w:spacing w:after="900" w:before="80" w:line="276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Paulo Gabriel Pessoa da Silva — RM 566446</w:t>
      </w:r>
    </w:p>
    <w:p>
      <w:pPr>
        <w:spacing w:after="80" w:before="80" w:line="276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São Paulo — 2026</w:t>
      </w:r>
    </w:p>
    <w:p>
      <w:r>
        <w:br w:type="page"/>
      </w:r>
    </w:p>
    <w:p>
      <w:pPr>
        <w:spacing w:after="60" w:before="700" w:line="276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William Stahl Sanches Furquim Garcia — RM 562800</w:t>
      </w:r>
    </w:p>
    <w:p>
      <w:pPr>
        <w:spacing w:after="500" w:before="80" w:line="276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Paulo Gabriel Pessoa da Silva — RM 566446</w:t>
      </w:r>
    </w:p>
    <w:p>
      <w:pPr>
        <w:spacing w:after="160" w:before="80" w:line="276" w:lineRule="auto"/>
        <w:jc w:val="center"/>
      </w:pPr>
      <w:r>
        <w:rPr>
          <w:rFonts w:ascii="Arial" w:cs="Arial" w:eastAsia="Arial" w:hAnsi="Arial"/>
          <w:b/>
          <w:bCs/>
          <w:color w:val="E31837"/>
          <w:sz w:val="34"/>
          <w:szCs w:val="34"/>
        </w:rPr>
        <w:t xml:space="preserve">GLOBAL SOLUTION 2026.1</w:t>
      </w:r>
    </w:p>
    <w:p>
      <w:pPr>
        <w:spacing w:after="400" w:before="80" w:line="276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24"/>
          <w:szCs w:val="24"/>
        </w:rPr>
        <w:t xml:space="preserve">Integração dos Módulos — Governança em IA e Business Analytics</w:t>
      </w:r>
    </w:p>
    <w:p>
      <w:pPr>
        <w:spacing w:after="1100" w:before="80" w:line="276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Relatório de integração apresentado à FIAP como requisito parcial da disciplina de Governança em IA e Business Analytics, do curso de Tecnólogo em Inteligência Artificial.</w:t>
      </w:r>
    </w:p>
    <w:p>
      <w:pPr>
        <w:spacing w:after="80" w:before="80" w:line="276" w:lineRule="auto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São Paulo — 2026</w:t>
      </w:r>
    </w:p>
    <w:p>
      <w:r>
        <w:br w:type="page"/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Lista de Quadros</w:t>
      </w:r>
    </w:p>
    <w:p>
      <w:p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Quadro 1 — Status de integração dos módulos</w:t>
      </w:r>
    </w:p>
    <w:p>
      <w:pPr>
        <w:spacing w:after="4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Quadro 2 — ODS da ONU atendidos pela solução</w:t>
      </w:r>
    </w:p>
    <w:p>
      <w:pPr>
        <w:spacing w:after="12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Quadro 3 — Links de entrega dos módulos</w:t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Sumário</w:t>
      </w:r>
    </w:p>
    <w:p>
      <w:pPr>
        <w:spacing w:after="30" w:before="4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  Introdução</w:t>
      </w:r>
    </w:p>
    <w:p>
      <w:pPr>
        <w:spacing w:after="30" w:before="3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  Visão Computacional</w:t>
      </w:r>
    </w:p>
    <w:p>
      <w:pPr>
        <w:spacing w:after="30" w:before="3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  Computação Quântica e IA</w:t>
      </w:r>
    </w:p>
    <w:p>
      <w:pPr>
        <w:spacing w:after="30" w:before="3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  Computação Neuromórfica</w:t>
      </w:r>
    </w:p>
    <w:p>
      <w:pPr>
        <w:spacing w:after="30" w:before="3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  IoT — Physical Computing e Cognitive IoT</w:t>
      </w:r>
    </w:p>
    <w:p>
      <w:pPr>
        <w:spacing w:after="30" w:before="3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  NLP — RAG Edifícios Verdes</w:t>
      </w:r>
    </w:p>
    <w:p>
      <w:pPr>
        <w:spacing w:after="30" w:before="3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  IA Generativa — SpaceRAG</w:t>
      </w:r>
    </w:p>
    <w:p>
      <w:pPr>
        <w:spacing w:after="30" w:before="3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  AI for RPA — ARIA</w:t>
      </w:r>
    </w:p>
    <w:p>
      <w:pPr>
        <w:spacing w:after="30" w:before="3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  Front-end — ClímaGuard</w:t>
      </w:r>
    </w:p>
    <w:p>
      <w:pPr>
        <w:spacing w:after="30" w:before="3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 Governança em IA e Business Analytics</w:t>
      </w:r>
    </w:p>
    <w:p>
      <w:pPr>
        <w:spacing w:after="30" w:before="3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11 Conclusão</w:t>
      </w:r>
    </w:p>
    <w:p>
      <w:pPr>
        <w:spacing w:after="30" w:before="3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12 Links</w:t>
      </w:r>
    </w:p>
    <w:p>
      <w:r>
        <w:br w:type="page"/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1  Introdução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relatório apresenta a integração entre os módulos desenvolvidos na Global Solution 2026.1 do curso de Tecnólogo em Inteligência Artificial da FIAP, aplicada à disciplina de Governança em IA e Business Analytics.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eixo temático que conecta todos os módulos é o monitoramento e a prevenção de riscos climáticos e ambientais. A solução foi construída de forma que cada disciplina contribui com uma camada funcional distinta: da coleta de dados em borda até a interface de visualização para o usuário final.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descreve, em seções individuais, o objetivo de cada módulo e como ele se conecta à solução integrada. A seção de Governança, ao final, apresenta o status consolidado de integração e discute as decisões técnicas e éticas do projeto.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William Stahl Sanches Furquim Garcia — RM 562800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Paulo Gabriel Pessoa da Silva — RM 566446</w:t>
      </w:r>
    </w:p>
    <w:p>
      <w:r>
        <w:br w:type="page"/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2  Visão Computacional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Objetivo na Global Solution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Desenvolveu-se um classificador de imagens de satélite para identificar áreas com risco de incêndio florestal utilizando o Wildfire Prediction Dataset (Kaggle), com cerca de 42 mil imagens nas classes Wildfire e No Wildfire. A arquitetura adotada foi EfficientNetB0 com transfer learning, treinada no Google Colab com GPU T4, com fine-tuning nas camadas superiores e data augmentation.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Integração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modelo retorna uma classificação binária de risco por imagem, consumida pelo ClímaGuard como indicador visual. O módulo ARIA pode acionar o classificador automaticamente a cada novo lote de imagens.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ODS 13 — Ação contra a mudança global do clima.</w:t>
      </w:r>
    </w:p>
    <w:p>
      <w:r>
        <w:br w:type="page"/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3  Computação Quântica e IA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Objetivo na Global Solution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Aplicou-se Quantum Machine Learning (QML) com Qiskit 1.x, implementando QSVC e VQC. Os resultados foram comparados com SVM e Random Forest usando AUC-ROC, F1-score e tempo de treinamento.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Integração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módulo foi desenvolvido de forma independente. A maturidade experimental do QML não permitiu a definição de um ponto de consumo direto nos demais módulos dentro do prazo. O benchmark está documentado no repositório como trabalho futuro.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ODS 9 — Indústria, inovação e infraestrutura.</w:t>
      </w:r>
    </w:p>
    <w:p>
      <w:r>
        <w:br w:type="page"/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4  Computação Neuromórfica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Objetivo na Global Solution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Implementou-se um sensor neuromórfico embarcado para monitoramento de condições críticas em um rover lunar autônomo. O sensor combina temperatura, radiação e poeira lunar em um índice ponderado que alimenta uma memória resistiva virtual (memristor). O sistema emite eventos discretos — normal, observação e alerta crítico — transmitindo apenas transições de estado, o que reduz drasticamente o volume de dados enviados por satélite.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Integração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Representa a camada de borda da solução. Os eventos de alerta alimentam o módulo IoT, que os propaga via MQTT para o ClímaGuard.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ODS 9 — Indústria, inovação e infraestrutura; ODS 13 — Ação climática.</w:t>
      </w:r>
    </w:p>
    <w:p>
      <w:r>
        <w:br w:type="page"/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5  IoT — Physical Computing e Cognitive IoT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Objetivo na Global Solution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Desenvolveu-se uma solução de coleta de dados ambientais em tempo real com ESP32, sensores DHT22, LDR e higrômetro, simulada no Wokwi. Os dados são transmitidos via MQTT ao broker HiveMQ. O sistema gera relatórios analíticos automáticos com estatísticas das leituras coletadas.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Integração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Ponto de coleta física da solução. Os dados transmitidos via MQTT chegam à nuvem e podem ser consumidos pelo ClímaGuard. Os alertas do sensor neuromórfico podem acionar notificações automáticas neste módulo.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ODS 9 — Indústria, inovação e infraestrutura; ODS 11 — Cidades e comunidades sustentáveis.</w:t>
      </w:r>
    </w:p>
    <w:p>
      <w:r>
        <w:br w:type="page"/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6  NLP — RAG Edifícios Verdes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Objetivo na Global Solution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Construiu-se um assistente técnico RAG especializado em edifícios verdes e Net Zero, cobrindo eficiência energética, gestão hídrica e certificações LEED, AQUA-HQE e GBC Brasil. O corpus tem 10 documentos segmentados em 19 chunks; os embeddings foram gerados com paraphrase-multilingual-mpnet-base-v2 e armazenados no ChromaDB. A camada generativa usa Llama 3.3 70B via Groq. Avaliação com 10 perguntas: 80% de respostas corretas com fonte verificada e zero alucinações.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Integração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Módulo consultivo acessível pelo ClímaGuard. Acionado quando o usuário precisa de orientações técnicas sobre edificações sustentáveis relacionadas ao contexto climático monitorado.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ODS 11 — Cidades e comunidades sustentáveis.</w:t>
      </w:r>
    </w:p>
    <w:p>
      <w:r>
        <w:br w:type="page"/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7  IA Generativa — SpaceRAG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Objetivo na Global Solution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Desenvolveu-se um assistente RAG voltado ao domínio da nova economia espacial, capaz de responder perguntas sobre relatórios da NASA, ESA, dados climáticos e monitoramento ambiental, com rastreabilidade total das fontes em cada resposta.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Integração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Complementa o assistente de edifícios verdes com domínio espacial. No ClímaGuard, pode ser acionado para contextualizar eventos climáticos com dados de agências espaciais. Ambos os assistentes RAG compartilham a mesma arquitetura.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ODS 13 — Ação contra a mudança global do clima.</w:t>
      </w:r>
    </w:p>
    <w:p>
      <w:r>
        <w:br w:type="page"/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8  AI for RPA — ARIA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Objetivo na Global Solution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ARIA (Automated Reconnaissance and Intelligence for Astronomy) é um pipeline de automação para coleta e análise de dados espaciais em tempo real. Executa automaticamente: coleta de notícias via Spaceflight News API; dados de NEOs da API NASA; posição da ISS via Open Notify; análise com Llama 3.2 local (Ollama); persistência em SQLite; exportação de relatórios em CSV, JSON e XLSX; e API REST Flask para consulta.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Integração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Atua como orquestrador da pipeline. Pode acionar o modelo de Visão Computacional a cada novo lote de imagens e alimentar o ClímaGuard com dados analisados automaticamente.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ODS 9 — Indústria, inovação e infraestrutura.</w:t>
      </w:r>
    </w:p>
    <w:p>
      <w:r>
        <w:br w:type="page"/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9  Front-end em Sistemas de IA — ClímaGuard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Objetivo na Global Solution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ClímaGuard é um dashboard interativo de monitoramento de desastres climáticos desenvolvido em Streamlit. Apresenta dados de enchentes, secas, deslizamentos e ciclones com filtros interativos, gráficos Plotly e mapa de calor por região. A arquitetura é organizada em camadas — providers (cache 5 min), pipelines, features, state centralizado e testes unitários independentes.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Integração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Interface central da solução integrada. Reúne em um único painel a classificação de risco da Visão Computacional, alertas do IoT, consultas aos assistentes RAG e dados do ARIA. O componente de feedback humano exige aprovação antes de qualquer ação, incorporando supervisão humana na pipeline.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ODS 11 — Cidades e comunidades sustentáveis; ODS 13 — Ação climática.</w:t>
      </w:r>
    </w:p>
    <w:p>
      <w:r>
        <w:br w:type="page"/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10  Governança em IA e Business Analytics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Objetivo na disciplina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Avaliar a integração entre os módulos do Global Solution, identificar quais foram efetivamente conectados à solução final, analisar a aderência aos ODS da ONU e discutir as decisões técnicas e éticas do projeto.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Status de integração</w:t>
      </w:r>
    </w:p>
    <w:p>
      <w:pPr>
        <w:spacing w:after="40" w:before="60" w:line="276" w:lineRule="auto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Quadro 1 — Status de integração dos módulos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6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 / Disciplina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Visão Computacional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Sim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Saída de classificação consumida pelo ClímaGuard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Computação Quântica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Não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Desenvolvido; sem ponto de integração definido na solução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Computação Neuromórfica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Sim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Eventos de alerta alimentam o módulo IoT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IoT — Physical Computing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Sim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Coleta via ESP32/MQTT; dados disponíveis ao dashboard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NLP / RAG Edifícios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Sim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Assistente consultivo acessível pelo ClímaGuard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 Generativa SpaceRAG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Sim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Segundo assistente RAG — domínio espacial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for RPA (ARIA)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Sim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Orquestra pipeline de coleta e análise automática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Front-end (ClímaGuard)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Sim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 central que reúne todos os módulos</w:t>
            </w:r>
          </w:p>
        </w:tc>
      </w:tr>
    </w:tbl>
    <w:p>
      <w:pPr>
        <w:spacing w:after="40" w:before="60" w:line="276" w:lineRule="auto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Fonte: elaboração própria (2026).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módulo de Computação Quântica foi o único não integrado ao fluxo operacional da solução. A maturidade experimental do QML e o prazo do semestre não permitiram a definição de um ponto de consumo direto. O módulo foi desenvolvido e está documentado; a integração é trabalho futuro.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ODS atendidos</w:t>
      </w:r>
    </w:p>
    <w:p>
      <w:pPr>
        <w:spacing w:after="40" w:before="60" w:line="276" w:lineRule="auto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Quadro 2 — ODS da ONU atendidos pela solução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Módulos contemplados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ODS 9 — Indústria, inovação e infraestrutura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Neuromórfica, AI for RPA, Computação Quântica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ODS 11 — Cidades e comunidades sustentáveis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IoT, Front-end (ClímaGuard), NLP/RAG Edifícios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ODS 13 — Ação contra a mudança global do clima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Visão Computacional, IA Generativa, Front-end</w:t>
            </w:r>
          </w:p>
        </w:tc>
      </w:tr>
    </w:tbl>
    <w:p>
      <w:pPr>
        <w:spacing w:after="40" w:before="60" w:line="276" w:lineRule="auto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Fonte: elaboração própria (2026).</w:t>
      </w:r>
    </w:p>
    <w:p>
      <w:pPr>
        <w:pStyle w:val="Heading2"/>
        <w:spacing w:after="100" w:before="200" w:line="276" w:lineRule="auto"/>
      </w:pPr>
      <w:r>
        <w:rPr>
          <w:rFonts w:ascii="Arial" w:cs="Arial" w:eastAsia="Arial" w:hAnsi="Arial"/>
          <w:b/>
          <w:bCs/>
          <w:color w:val="003087"/>
          <w:sz w:val="24"/>
          <w:szCs w:val="24"/>
        </w:rPr>
        <w:t xml:space="preserve">Decisões técnicas e éticas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principal decisão de arquitetura foi adotar o Streamlit como interface central, permitindo prototipação rápida e integração nativa com as bibliotecas Python dos demais módulos. O cache via @st.cache_data garante que os dados não sejam rebuscados a cada interação.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Dois princípios éticos guiaram o projeto: supervisão humana — o ClímaGuard exige aprovação antes de qualquer ação ser tomada; e rastreabilidade — os dois assistentes RAG citam obrigatoriamente a fonte de cada dado, eliminando alucinações. A solução não coleta dados pessoais e usa exclusivamente fontes públicas.</w:t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11  Conclusão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Global Solution 2026.1 permitiu conectar na prática tecnologias estudadas de forma independente ao longo do semestre. O processo de integração mostrou que cada módulo tem um papel funcional claro e que a escolha de um eixo temático coerente — o monitoramento de riscos climáticos — facilitou as conexões entre eles.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maior aprendizado foi perceber que a integração vai além do aspecto técnico: exige decisões sobre arquitetura, fluxo de dados entre camadas e onde inserir o controle humano no sistema. O componente de feedback do ClímaGuard e a rastreabilidade dos assistentes RAG são exemplos concretos dessas decisões.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módulo de Computação Quântica ficou como ponto aberto. O QML ainda está em fase experimental e sua integração a um pipeline produtivo exige infraestrutura e prazo que não estavam disponíveis neste semestre.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resultado geral, a solução funciona. A maioria dos módulos conecta-se de forma real ao ClímaGuard, e o trabalho reforçou que IA responsável começa nas escolhas de design, não apenas no modelo.</w:t>
      </w:r>
    </w:p>
    <w:p>
      <w:pPr>
        <w:pStyle w:val="Heading1"/>
        <w:spacing w:after="160" w:before="300" w:line="276" w:lineRule="auto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12  Links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Quadro 3 reúne os links de entrega de todos os módulos. Os itens marcados como 'A preencher antes da entrega' devem ser atualizados com os endereços definitivos do vídeo de integração e do repositório GitHub do grupo.</w:t>
      </w:r>
    </w:p>
    <w:p>
      <w:pPr>
        <w:spacing w:after="40" w:before="60" w:line="276" w:lineRule="auto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Quadro 3 — Links de entrega dos módulos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 / 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Visão Computacional — vídeo YouTube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087"/>
                <w:sz w:val="19"/>
                <w:szCs w:val="19"/>
              </w:rPr>
              <w:t xml:space="preserve">https://youtu.be/qS2mrb6seUo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Computação Quântica — vídeo YouTube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087"/>
                <w:sz w:val="19"/>
                <w:szCs w:val="19"/>
              </w:rPr>
              <w:t xml:space="preserve">https://youtu.be/qS2mrb6seUo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Neuromórfica — relatório PDF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Incluído no repositório de integração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IoT — vídeo YouTube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087"/>
                <w:sz w:val="19"/>
                <w:szCs w:val="19"/>
              </w:rPr>
              <w:t xml:space="preserve">https://youtu.be/AQRvqnvpKSY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NLP / RAG Edifícios — vídeo YouTube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087"/>
                <w:sz w:val="19"/>
                <w:szCs w:val="19"/>
              </w:rPr>
              <w:t xml:space="preserve">https://youtu.be/VzHm4r4-7cs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NLP / RAG Edifícios — Colab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087"/>
                <w:sz w:val="19"/>
                <w:szCs w:val="19"/>
              </w:rPr>
              <w:t xml:space="preserve">https://colab.research.google.com/drive/1FEtYMCBF03pra91K8JKXOZQzkkSjuhZ4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 Generativa SpaceRAG — vídeo YouTube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087"/>
                <w:sz w:val="19"/>
                <w:szCs w:val="19"/>
              </w:rPr>
              <w:t xml:space="preserve">https://youtu.be/dXBxFxXtJ0M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 Generativa SpaceRAG — GitHub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087"/>
                <w:sz w:val="19"/>
                <w:szCs w:val="19"/>
              </w:rPr>
              <w:t xml:space="preserve">https://github.com/biellpessoa/GenAI-GS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for RPA (ARIA) — GitHub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087"/>
                <w:sz w:val="19"/>
                <w:szCs w:val="19"/>
              </w:rPr>
              <w:t xml:space="preserve">https://github.com/biellpessoa/GS_Automation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Front-end ClímaGuard — GitHub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087"/>
                <w:sz w:val="19"/>
                <w:szCs w:val="19"/>
              </w:rPr>
              <w:t xml:space="preserve">https://github.com/biellpessoa/climaguard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Vídeo de Integração — YouTube (não listado)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A preencher antes da entrega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Repositório de Integração — GitHub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A preencher antes da entrega</w:t>
            </w:r>
          </w:p>
        </w:tc>
      </w:tr>
    </w:tbl>
    <w:p>
      <w:pPr>
        <w:spacing w:after="40" w:before="60" w:line="276" w:lineRule="auto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Fonte: elaboração própria (2026).</w:t>
      </w:r>
    </w:p>
    <w:sectPr>
      <w:headerReference w:type="default" r:id="rId7"/>
      <w:footerReference w:type="default" r:id="rId8"/>
      <w:pgSz w:w="11906" w:h="16838" w:orient="portrait"/>
      <w:pgMar w:top="1701" w:right="1134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087" w:sz="4" w:space="1"/>
      </w:pBdr>
      <w:spacing w:after="0"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William Garcia (RM 562800) | Paulo Gabriel (RM 566446) — 2TIAPY — 2026  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087" w:sz="4" w:space="1"/>
      </w:pBdr>
      <w:spacing w:after="80" w:before="0"/>
    </w:pPr>
    <w:r>
      <w:rPr>
        <w:rFonts w:ascii="Arial" w:cs="Arial" w:eastAsia="Arial" w:hAnsi="Arial"/>
        <w:color w:val="666666"/>
        <w:sz w:val="16"/>
        <w:szCs w:val="16"/>
      </w:rPr>
      <w:t xml:space="preserve">Global Solution 2026.1 — Governança em IA e Business Analytics — FIAP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0308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30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2026-06-09T13:51:50.622Z</dcterms:created>
  <dcterms:modified xsi:type="dcterms:W3CDTF">2026-06-09T13:51:50.622Z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