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52189" w14:textId="77777777" w:rsidR="0001534D" w:rsidRDefault="0001534D" w:rsidP="003A21CD">
      <w:pPr>
        <w:pStyle w:val="Heading1"/>
        <w:rPr>
          <w:rStyle w:val="Emphasis"/>
          <w:i w:val="0"/>
          <w:iCs w:val="0"/>
        </w:rPr>
      </w:pPr>
      <w:r>
        <w:rPr>
          <w:rStyle w:val="Emphasis"/>
          <w:i w:val="0"/>
          <w:iCs w:val="0"/>
        </w:rPr>
        <w:t>Title</w:t>
      </w:r>
    </w:p>
    <w:p w14:paraId="6ABE3109" w14:textId="0EDB2AC9" w:rsidR="00F4297C" w:rsidRDefault="003072D1" w:rsidP="00E95950">
      <w:pPr>
        <w:jc w:val="both"/>
        <w:rPr>
          <w:rStyle w:val="Emphasis"/>
          <w:i w:val="0"/>
          <w:iCs w:val="0"/>
        </w:rPr>
      </w:pPr>
      <w:r w:rsidRPr="00F4297C">
        <w:rPr>
          <w:rStyle w:val="Emphasis"/>
          <w:i w:val="0"/>
          <w:iCs w:val="0"/>
        </w:rPr>
        <w:t>Improving Digital Literacy: A User-Centered Approach to Simplifying Online Terms of Service with AI Tools</w:t>
      </w:r>
    </w:p>
    <w:p w14:paraId="4C0F1B33" w14:textId="2D01E70B" w:rsidR="0001534D" w:rsidRDefault="0001534D" w:rsidP="003A21CD">
      <w:pPr>
        <w:pStyle w:val="Heading1"/>
        <w:rPr>
          <w:rStyle w:val="Emphasis"/>
          <w:i w:val="0"/>
          <w:iCs w:val="0"/>
        </w:rPr>
      </w:pPr>
      <w:r>
        <w:rPr>
          <w:rStyle w:val="Emphasis"/>
          <w:i w:val="0"/>
          <w:iCs w:val="0"/>
        </w:rPr>
        <w:t>Abstract</w:t>
      </w:r>
    </w:p>
    <w:p w14:paraId="79532C1A" w14:textId="77777777" w:rsidR="002C79D8" w:rsidRPr="002C79D8" w:rsidRDefault="002C79D8" w:rsidP="002C79D8">
      <w:pPr>
        <w:jc w:val="both"/>
        <w:rPr>
          <w:b/>
          <w:bCs/>
        </w:rPr>
      </w:pPr>
      <w:r w:rsidRPr="002C79D8">
        <w:rPr>
          <w:b/>
          <w:bCs/>
        </w:rPr>
        <w:t>Background</w:t>
      </w:r>
    </w:p>
    <w:p w14:paraId="06CFDA15" w14:textId="7493DFD9" w:rsidR="002C79D8" w:rsidRPr="002C79D8" w:rsidRDefault="002C79D8" w:rsidP="002C79D8">
      <w:pPr>
        <w:jc w:val="both"/>
      </w:pPr>
      <w:r w:rsidRPr="002C79D8">
        <w:t xml:space="preserve">Terms of Service (ToS) agreements establish the rights, responsibilities, and privacy terms regarding data between users and online services. However, because of their complexity, length, and legal jargon, people seldom engage with ToS. Because users are not engaged in meaningful consent, they face privacy and security risks. </w:t>
      </w:r>
      <w:r w:rsidR="003B2558">
        <w:t>Using</w:t>
      </w:r>
      <w:r w:rsidRPr="002C79D8">
        <w:t xml:space="preserve"> progress in artificial intelligence (AI), in this paper</w:t>
      </w:r>
      <w:r>
        <w:t>, we introduce ToSSimplify, an AI-powered tool designed to simplify and summarise ToS agreements</w:t>
      </w:r>
      <w:r w:rsidRPr="002C79D8">
        <w:t xml:space="preserve"> to make them more understandable for its users.</w:t>
      </w:r>
    </w:p>
    <w:p w14:paraId="6EEE1C30" w14:textId="77777777" w:rsidR="002C79D8" w:rsidRPr="002C79D8" w:rsidRDefault="002C79D8" w:rsidP="002C79D8">
      <w:pPr>
        <w:jc w:val="both"/>
        <w:rPr>
          <w:b/>
          <w:bCs/>
        </w:rPr>
      </w:pPr>
      <w:r w:rsidRPr="002C79D8">
        <w:rPr>
          <w:b/>
          <w:bCs/>
        </w:rPr>
        <w:t>Methods</w:t>
      </w:r>
    </w:p>
    <w:p w14:paraId="3FBC3EFF" w14:textId="39B02DF5" w:rsidR="002C79D8" w:rsidRPr="002C79D8" w:rsidRDefault="002C79D8" w:rsidP="002C79D8">
      <w:pPr>
        <w:jc w:val="both"/>
      </w:pPr>
      <w:r w:rsidRPr="002C79D8">
        <w:t>This study used a mixed-method approach. An online survey of 425 informants provided quantitative data about barriers to ToS engagement and user behaviour across demographic variables. ToSSimplify is the name of this tool</w:t>
      </w:r>
      <w:r w:rsidR="0033510B">
        <w:t>;</w:t>
      </w:r>
      <w:r w:rsidRPr="002C79D8">
        <w:t xml:space="preserve"> qualitative usability testing with 20 participants assessed ToSSimplify’s limits of comprehension and engagement. The tool employs natural language processing (NLP) to extract, simplify and summarise key ToS clauses in an interactive format. We employed descriptive statistics, multinomial logistic regression and thematic analysis to analyse the data.</w:t>
      </w:r>
    </w:p>
    <w:p w14:paraId="33C9834C" w14:textId="77777777" w:rsidR="002C79D8" w:rsidRPr="002C79D8" w:rsidRDefault="002C79D8" w:rsidP="002C79D8">
      <w:pPr>
        <w:jc w:val="both"/>
        <w:rPr>
          <w:b/>
          <w:bCs/>
        </w:rPr>
      </w:pPr>
    </w:p>
    <w:p w14:paraId="54BEB919" w14:textId="3C630ECA" w:rsidR="002C79D8" w:rsidRPr="002C79D8" w:rsidRDefault="002C79D8" w:rsidP="002C79D8">
      <w:pPr>
        <w:jc w:val="both"/>
      </w:pPr>
      <w:r w:rsidRPr="002C79D8">
        <w:t xml:space="preserve">Survey data revealed that merely 17% read ToS agreements whenever encountered, as length (64%) and complexity (58%) were </w:t>
      </w:r>
      <w:r w:rsidR="00CB3F20">
        <w:t>significant</w:t>
      </w:r>
      <w:r w:rsidRPr="002C79D8">
        <w:t xml:space="preserve"> barriers. There was an impact related to education level and age on ToS uptake (p &lt; 0.005). 92% of tasks were successful in usability tests, and users indicated greater confidence in understanding ToS after using ToSSimplify (comprehension improved from 19% pre-tool to 81% post-tool). The thematic analysis </w:t>
      </w:r>
      <w:r w:rsidR="00CB3F20">
        <w:t>emphasised</w:t>
      </w:r>
      <w:r w:rsidRPr="002C79D8">
        <w:t xml:space="preserve"> user appreciation for the tool’s clarity and design, albeit with minor navigation challenges.</w:t>
      </w:r>
    </w:p>
    <w:p w14:paraId="33CFE0A7" w14:textId="77777777" w:rsidR="002C79D8" w:rsidRPr="002C79D8" w:rsidRDefault="002C79D8" w:rsidP="002C79D8">
      <w:pPr>
        <w:jc w:val="both"/>
        <w:rPr>
          <w:b/>
          <w:bCs/>
        </w:rPr>
      </w:pPr>
      <w:r w:rsidRPr="002C79D8">
        <w:rPr>
          <w:b/>
          <w:bCs/>
        </w:rPr>
        <w:t>Conclusion</w:t>
      </w:r>
    </w:p>
    <w:p w14:paraId="48EA4813" w14:textId="1A0810A4" w:rsidR="002C79D8" w:rsidRPr="002C79D8" w:rsidRDefault="0033510B" w:rsidP="002C79D8">
      <w:pPr>
        <w:jc w:val="both"/>
      </w:pPr>
      <w:r>
        <w:t>ToSSimplify overcomes critical barriers through AI-driven simplification</w:t>
      </w:r>
      <w:r w:rsidR="002C79D8" w:rsidRPr="002C79D8">
        <w:t>, improving user understanding and engagement with ToS agreements. These articles address the potential for AI tools to facilitate digital literacy and informed consent, congruent with regulatory objectives</w:t>
      </w:r>
      <w:r>
        <w:t xml:space="preserve">, including those established in the </w:t>
      </w:r>
      <w:r w:rsidR="002C79D8" w:rsidRPr="002C79D8">
        <w:t xml:space="preserve">General Data Protection Regulation (GDPR). </w:t>
      </w:r>
      <w:r>
        <w:t>Further research is needed to scale the tool for different linguistic and cultural contexts</w:t>
      </w:r>
      <w:r w:rsidR="002C79D8" w:rsidRPr="002C79D8">
        <w:t xml:space="preserve"> and incorporate it into integrated live digital platforms.</w:t>
      </w:r>
    </w:p>
    <w:p w14:paraId="57C72A03" w14:textId="77777777" w:rsidR="0001534D" w:rsidRPr="0001534D" w:rsidRDefault="0001534D" w:rsidP="0001534D">
      <w:pPr>
        <w:jc w:val="both"/>
        <w:rPr>
          <w:b/>
          <w:bCs/>
        </w:rPr>
      </w:pPr>
      <w:r w:rsidRPr="0001534D">
        <w:rPr>
          <w:b/>
          <w:bCs/>
        </w:rPr>
        <w:t>Keywords</w:t>
      </w:r>
    </w:p>
    <w:p w14:paraId="0EA3886A" w14:textId="77777777" w:rsidR="0001534D" w:rsidRPr="0001534D" w:rsidRDefault="0001534D" w:rsidP="0001534D">
      <w:pPr>
        <w:jc w:val="both"/>
      </w:pPr>
      <w:r w:rsidRPr="0001534D">
        <w:t>Terms of Service, Artificial Intelligence, Digital Literacy, Natural Language Processing, Informed Consent, User Engagement, Privacy Rights</w:t>
      </w:r>
    </w:p>
    <w:p w14:paraId="2A3B091C" w14:textId="77777777" w:rsidR="0001534D" w:rsidRDefault="0001534D" w:rsidP="00E95950">
      <w:pPr>
        <w:jc w:val="both"/>
        <w:rPr>
          <w:rStyle w:val="Emphasis"/>
          <w:i w:val="0"/>
          <w:iCs w:val="0"/>
        </w:rPr>
      </w:pPr>
    </w:p>
    <w:p w14:paraId="178905F0" w14:textId="595B9B4A" w:rsidR="00F4297C" w:rsidRPr="00F4297C" w:rsidRDefault="003A21CD" w:rsidP="003A21CD">
      <w:pPr>
        <w:pStyle w:val="Heading1"/>
      </w:pPr>
      <w:r>
        <w:lastRenderedPageBreak/>
        <w:t>Introduction</w:t>
      </w:r>
    </w:p>
    <w:p w14:paraId="3D0F42B1" w14:textId="642D2742" w:rsidR="00BD78BD" w:rsidRPr="00BD78BD" w:rsidRDefault="00BD78BD" w:rsidP="00BD78BD">
      <w:pPr>
        <w:jc w:val="both"/>
      </w:pPr>
      <w:r w:rsidRPr="00BD78BD">
        <w:t xml:space="preserve">The digital ecosystem is built upon Terms of Service (ToS) agreements: legally binding documents that define users’ and platforms’ rights, responsibilities, and data usage policies </w:t>
      </w:r>
      <w:r w:rsidR="00071590">
        <w:fldChar w:fldCharType="begin"/>
      </w:r>
      <w:r w:rsidR="004221BE">
        <w:instrText xml:space="preserve"> ADDIN EN.CITE &lt;EndNote&gt;&lt;Cite&gt;&lt;Author&gt;Robinson&lt;/Author&gt;&lt;Year&gt;2020&lt;/Year&gt;&lt;RecNum&gt;68&lt;/RecNum&gt;&lt;DisplayText&gt;(1)&lt;/DisplayText&gt;&lt;record&gt;&lt;rec-number&gt;68&lt;/rec-number&gt;&lt;foreign-keys&gt;&lt;key app="EN" db-id="rzddz9xtze9xz3erwto5zafcd5w22rsasxfx" timestamp="1718117275"&gt;68&lt;/key&gt;&lt;/foreign-keys&gt;&lt;ref-type name="Journal Article"&gt;17&lt;/ref-type&gt;&lt;contributors&gt;&lt;authors&gt;&lt;author&gt;Robinson, Eric P&lt;/author&gt;&lt;author&gt;Zhu, Yicheng&lt;/author&gt;&lt;/authors&gt;&lt;/contributors&gt;&lt;titles&gt;&lt;title&gt;Beyond “I agree”: Users’ understanding of web site terms of service&lt;/title&gt;&lt;secondary-title&gt;Social media+ society&lt;/secondary-title&gt;&lt;/titles&gt;&lt;periodical&gt;&lt;full-title&gt;Social media+ society&lt;/full-title&gt;&lt;/periodical&gt;&lt;pages&gt;2056305119897321&lt;/pages&gt;&lt;volume&gt;6&lt;/volume&gt;&lt;number&gt;1&lt;/number&gt;&lt;dates&gt;&lt;year&gt;2020&lt;/year&gt;&lt;/dates&gt;&lt;isbn&gt;2056-3051&lt;/isbn&gt;&lt;urls&gt;&lt;/urls&gt;&lt;/record&gt;&lt;/Cite&gt;&lt;/EndNote&gt;</w:instrText>
      </w:r>
      <w:r w:rsidR="00071590">
        <w:fldChar w:fldCharType="separate"/>
      </w:r>
      <w:r w:rsidR="004221BE">
        <w:rPr>
          <w:noProof/>
        </w:rPr>
        <w:t>(1)</w:t>
      </w:r>
      <w:r w:rsidR="00071590">
        <w:fldChar w:fldCharType="end"/>
      </w:r>
      <w:r w:rsidRPr="00BD78BD">
        <w:t xml:space="preserve">. Despite their critical importance, users almost universally ignore ToS agreements. Studies consistently show that less than 1% of users read these documents thoroughly, with the vast majority blindly accepting terms to access services </w:t>
      </w:r>
      <w:r w:rsidR="00844C10">
        <w:fldChar w:fldCharType="begin">
          <w:fldData xml:space="preserve">PEVuZE5vdGU+PENpdGU+PEF1dGhvcj5CYWtvczwvQXV0aG9yPjxZZWFyPjIwMTQ8L1llYXI+PFJl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</w:fldData>
        </w:fldChar>
      </w:r>
      <w:r w:rsidR="004221BE">
        <w:instrText xml:space="preserve"> ADDIN EN.CITE </w:instrText>
      </w:r>
      <w:r w:rsidR="004221BE">
        <w:fldChar w:fldCharType="begin">
          <w:fldData xml:space="preserve">PEVuZE5vdGU+PENpdGU+PEF1dGhvcj5CYWtvczwvQXV0aG9yPjxZZWFyPjIwMTQ8L1llYXI+PFJl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</w:fldData>
        </w:fldChar>
      </w:r>
      <w:r w:rsidR="004221BE">
        <w:instrText xml:space="preserve"> ADDIN EN.CITE.DATA </w:instrText>
      </w:r>
      <w:r w:rsidR="004221BE">
        <w:fldChar w:fldCharType="end"/>
      </w:r>
      <w:r w:rsidR="00844C10">
        <w:fldChar w:fldCharType="separate"/>
      </w:r>
      <w:r w:rsidR="004221BE">
        <w:rPr>
          <w:noProof/>
        </w:rPr>
        <w:t>(2-4)</w:t>
      </w:r>
      <w:r w:rsidR="00844C10">
        <w:fldChar w:fldCharType="end"/>
      </w:r>
      <w:r w:rsidRPr="00BD78BD">
        <w:t xml:space="preserve">. This disengagement stems primarily from their excessive length, complex legal language, and perceived irrelevance, creating a significant barrier to user comprehension </w:t>
      </w:r>
      <w:r w:rsidR="00C32D20">
        <w:fldChar w:fldCharType="begin">
          <w:fldData xml:space="preserve">PEVuZE5vdGU+PENpdGU+PEF1dGhvcj5Cw7ZobWU8L0F1dGhvcj48WWVhcj4yMDEwPC9ZZWFyPjxS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=
</w:fldData>
        </w:fldChar>
      </w:r>
      <w:r w:rsidR="004221BE">
        <w:instrText xml:space="preserve"> ADDIN EN.CITE </w:instrText>
      </w:r>
      <w:r w:rsidR="004221BE">
        <w:fldChar w:fldCharType="begin">
          <w:fldData xml:space="preserve">PEVuZE5vdGU+PENpdGU+PEF1dGhvcj5Cw7ZobWU8L0F1dGhvcj48WWVhcj4yMDEwPC9ZZWFyPjxS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=
</w:fldData>
        </w:fldChar>
      </w:r>
      <w:r w:rsidR="004221BE">
        <w:instrText xml:space="preserve"> ADDIN EN.CITE.DATA </w:instrText>
      </w:r>
      <w:r w:rsidR="004221BE">
        <w:fldChar w:fldCharType="end"/>
      </w:r>
      <w:r w:rsidR="00C32D20">
        <w:fldChar w:fldCharType="separate"/>
      </w:r>
      <w:r w:rsidR="004221BE">
        <w:rPr>
          <w:noProof/>
        </w:rPr>
        <w:t>(5-7)</w:t>
      </w:r>
      <w:r w:rsidR="00C32D20">
        <w:fldChar w:fldCharType="end"/>
      </w:r>
      <w:r w:rsidRPr="00BD78BD">
        <w:t>.</w:t>
      </w:r>
    </w:p>
    <w:p w14:paraId="0D7E4C35" w14:textId="49D4B860" w:rsidR="00BD78BD" w:rsidRPr="00BD78BD" w:rsidRDefault="00BD78BD" w:rsidP="00BD78BD">
      <w:pPr>
        <w:jc w:val="both"/>
      </w:pPr>
      <w:r w:rsidRPr="00BD78BD">
        <w:t xml:space="preserve">The consequences of this disengagement are far-reaching. Users frequently agree to terms exposing their data to collection, sharing, and processing without explicit knowledge or understanding </w:t>
      </w:r>
      <w:r w:rsidR="00D36734">
        <w:fldChar w:fldCharType="begin"/>
      </w:r>
      <w:r w:rsidR="004221BE">
        <w:instrText xml:space="preserve"> ADDIN EN.CITE &lt;EndNote&gt;&lt;Cite&gt;&lt;Author&gt;Acquisti&lt;/Author&gt;&lt;Year&gt;2015&lt;/Year&gt;&lt;RecNum&gt;97&lt;/RecNum&gt;&lt;DisplayText&gt;(8, 9)&lt;/DisplayText&gt;&lt;record&gt;&lt;rec-number&gt;97&lt;/rec-number&gt;&lt;foreign-keys&gt;&lt;key app="EN" db-id="rzddz9xtze9xz3erwto5zafcd5w22rsasxfx" timestamp="1718121486"&gt;97&lt;/key&gt;&lt;/foreign-keys&gt;&lt;ref-type name="Journal Article"&gt;17&lt;/ref-type&gt;&lt;contributors&gt;&lt;authors&gt;&lt;author&gt;Acquisti, Alessandro&lt;/author&gt;&lt;author&gt;Brandimarte, Laura&lt;/author&gt;&lt;author&gt;Loewenstein, George&lt;/author&gt;&lt;/authors&gt;&lt;/contributors&gt;&lt;titles&gt;&lt;title&gt;Privacy and human behaviour in the age of information&lt;/title&gt;&lt;secondary-title&gt;Science&lt;/secondary-title&gt;&lt;/titles&gt;&lt;periodical&gt;&lt;full-title&gt;Science&lt;/full-title&gt;&lt;/periodical&gt;&lt;pages&gt;509-514&lt;/pages&gt;&lt;volume&gt;347&lt;/volume&gt;&lt;number&gt;6221&lt;/number&gt;&lt;dates&gt;&lt;year&gt;2015&lt;/year&gt;&lt;/dates&gt;&lt;isbn&gt;0036-8075&lt;/isbn&gt;&lt;urls&gt;&lt;/urls&gt;&lt;/record&gt;&lt;/Cite&gt;&lt;Cite&gt;&lt;Author&gt;Ben-Shahar&lt;/Author&gt;&lt;Year&gt;2014&lt;/Year&gt;&lt;RecNum&gt;63&lt;/RecNum&gt;&lt;record&gt;&lt;rec-number&gt;63&lt;/rec-number&gt;&lt;foreign-keys&gt;&lt;key app="EN" db-id="rzddz9xtze9xz3erwto5zafcd5w22rsasxfx" timestamp="1718115852"&gt;63&lt;/key&gt;&lt;/foreign-keys&gt;&lt;ref-type name="Book"&gt;6&lt;/ref-type&gt;&lt;contributors&gt;&lt;authors&gt;&lt;author&gt;Ben-Shahar, Omri&lt;/author&gt;&lt;author&gt;Schneider, Carl E&lt;/author&gt;&lt;/authors&gt;&lt;/contributors&gt;&lt;titles&gt;&lt;title&gt;More than you wanted to know: The Failure of Mandated Disclosure&lt;/title&gt;&lt;/titles&gt;&lt;dates&gt;&lt;year&gt;2014&lt;/year&gt;&lt;/dates&gt;&lt;publisher&gt;Princeton University Press&lt;/publisher&gt;&lt;isbn&gt;140085038X&lt;/isbn&gt;&lt;urls&gt;&lt;/urls&gt;&lt;/record&gt;&lt;/Cite&gt;&lt;/EndNote&gt;</w:instrText>
      </w:r>
      <w:r w:rsidR="00D36734">
        <w:fldChar w:fldCharType="separate"/>
      </w:r>
      <w:r w:rsidR="004221BE">
        <w:rPr>
          <w:noProof/>
        </w:rPr>
        <w:t>(8, 9)</w:t>
      </w:r>
      <w:r w:rsidR="00D36734">
        <w:fldChar w:fldCharType="end"/>
      </w:r>
      <w:r w:rsidRPr="00BD78BD">
        <w:t xml:space="preserve">. For instance, cases have emerged where users unknowingly consented to data-sharing practices that violated their privacy expectations, leading to legal and ethical controversies </w:t>
      </w:r>
      <w:r w:rsidR="00294202">
        <w:fldChar w:fldCharType="begin"/>
      </w:r>
      <w:r w:rsidR="004221BE">
        <w:instrText xml:space="preserve"> ADDIN EN.CITE &lt;EndNote&gt;&lt;Cite&gt;&lt;Author&gt;Germ&lt;/Author&gt;&lt;Year&gt;2012&lt;/Year&gt;&lt;RecNum&gt;21&lt;/RecNum&gt;&lt;DisplayText&gt;(4, 10)&lt;/DisplayText&gt;&lt;record&gt;&lt;rec-number&gt;21&lt;/rec-number&gt;&lt;foreign-keys&gt;&lt;key app="EN" db-id="rzddz9xtze9xz3erwto5zafcd5w22rsasxfx" timestamp="1715802545"&gt;21&lt;/key&gt;&lt;/foreign-keys&gt;&lt;ref-type name="Web Page"&gt;12&lt;/ref-type&gt;&lt;contributors&gt;&lt;authors&gt;&lt;author&gt;Germ, Erik&lt;/author&gt;&lt;/authors&gt;&lt;/contributors&gt;&lt;titles&gt;&lt;title&gt;6 Terrifying User Agreements You&amp;apos;ve Probably Accepted&lt;/title&gt;&lt;/titles&gt;&lt;number&gt;5th May 2024&lt;/number&gt;&lt;dates&gt;&lt;year&gt;2012&lt;/year&gt;&lt;/dates&gt;&lt;publisher&gt;Cracked. com&lt;/publisher&gt;&lt;urls&gt;&lt;related-urls&gt;&lt;url&gt;https://www.cracked.com/article_19683_6-terrifying-user-agreements-youve-probably-accepted.html&lt;/url&gt;&lt;/related-urls&gt;&lt;/urls&gt;&lt;/record&gt;&lt;/Cite&gt;&lt;Cite&gt;&lt;Author&gt;Obar&lt;/Author&gt;&lt;Year&gt;2020&lt;/Year&gt;&lt;RecNum&gt;9&lt;/RecNum&gt;&lt;record&gt;&lt;rec-number&gt;9&lt;/rec-number&gt;&lt;foreign-keys&gt;&lt;key app="EN" db-id="rzddz9xtze9xz3erwto5zafcd5w22rsasxfx" timestamp="1715605717"&gt;9&lt;/key&gt;&lt;/foreign-keys&gt;&lt;ref-type name="Journal Article"&gt;17&lt;/ref-type&gt;&lt;contributors&gt;&lt;authors&gt;&lt;author&gt;Obar, Jonathan A&lt;/author&gt;&lt;author&gt;Oeldorf-Hirsch, Anne&lt;/author&gt;&lt;/authors&gt;&lt;/contributors&gt;&lt;titles&gt;&lt;title&gt;The biggest lie on the internet: Ignoring the privacy policies and terms of service policies of social networking services&lt;/title&gt;&lt;secondary-title&gt;Information, Communication &amp;amp; Society&lt;/secondary-title&gt;&lt;/titles&gt;&lt;periodical&gt;&lt;full-title&gt;Information, Communication &amp;amp; Society&lt;/full-title&gt;&lt;/periodical&gt;&lt;pages&gt;128-147&lt;/pages&gt;&lt;volume&gt;23&lt;/volume&gt;&lt;number&gt;1&lt;/number&gt;&lt;dates&gt;&lt;year&gt;2020&lt;/year&gt;&lt;/dates&gt;&lt;isbn&gt;1369-118X&lt;/isbn&gt;&lt;urls&gt;&lt;/urls&gt;&lt;/record&gt;&lt;/Cite&gt;&lt;/EndNote&gt;</w:instrText>
      </w:r>
      <w:r w:rsidR="00294202">
        <w:fldChar w:fldCharType="separate"/>
      </w:r>
      <w:r w:rsidR="004221BE">
        <w:rPr>
          <w:noProof/>
        </w:rPr>
        <w:t>(4, 10)</w:t>
      </w:r>
      <w:r w:rsidR="00294202">
        <w:fldChar w:fldCharType="end"/>
      </w:r>
      <w:r w:rsidRPr="00BD78BD">
        <w:t xml:space="preserve">. This lack of informed consent undermines fundamental principles of autonomy and transparency, eroding trust in digital platforms </w:t>
      </w:r>
      <w:r w:rsidR="00732347">
        <w:fldChar w:fldCharType="begin"/>
      </w:r>
      <w:r w:rsidR="004221BE">
        <w:instrText xml:space="preserve"> ADDIN EN.CITE &lt;EndNote&gt;&lt;Cite&gt;&lt;Author&gt;Lutz&lt;/Author&gt;&lt;Year&gt;2018&lt;/Year&gt;&lt;RecNum&gt;61&lt;/RecNum&gt;&lt;DisplayText&gt;(11, 12)&lt;/DisplayText&gt;&lt;record&gt;&lt;rec-number&gt;61&lt;/rec-number&gt;&lt;foreign-keys&gt;&lt;key app="EN" db-id="rzddz9xtze9xz3erwto5zafcd5w22rsasxfx" timestamp="1718108167"&gt;61&lt;/key&gt;&lt;/foreign-keys&gt;&lt;ref-type name="Journal Article"&gt;17&lt;/ref-type&gt;&lt;contributors&gt;&lt;authors&gt;&lt;author&gt;Lutz, Christoph&lt;/author&gt;&lt;author&gt;Hoffmann, Christian Pieter&lt;/author&gt;&lt;author&gt;Bucher, Eliane&lt;/author&gt;&lt;author&gt;Fieseler, Christian&lt;/author&gt;&lt;/authors&gt;&lt;/contributors&gt;&lt;titles&gt;&lt;title&gt;The role of privacy concerns in the sharing economy&lt;/title&gt;&lt;secondary-title&gt;Information, Communication &amp;amp; Society&lt;/secondary-title&gt;&lt;/titles&gt;&lt;periodical&gt;&lt;full-title&gt;Information, Communication &amp;amp; Society&lt;/full-title&gt;&lt;/periodical&gt;&lt;pages&gt;1472-1492&lt;/pages&gt;&lt;volume&gt;21&lt;/volume&gt;&lt;number&gt;10&lt;/number&gt;&lt;dates&gt;&lt;year&gt;2018&lt;/year&gt;&lt;/dates&gt;&lt;isbn&gt;1369-118X&lt;/isbn&gt;&lt;urls&gt;&lt;/urls&gt;&lt;/record&gt;&lt;/Cite&gt;&lt;Cite&gt;&lt;Author&gt;Solove&lt;/Author&gt;&lt;Year&gt;2012&lt;/Year&gt;&lt;RecNum&gt;53&lt;/RecNum&gt;&lt;record&gt;&lt;rec-number&gt;53&lt;/rec-number&gt;&lt;foreign-keys&gt;&lt;key app="EN" db-id="rzddz9xtze9xz3erwto5zafcd5w22rsasxfx" timestamp="1718106849"&gt;53&lt;/key&gt;&lt;/foreign-keys&gt;&lt;ref-type name="Generic"&gt;13&lt;/ref-type&gt;&lt;contributors&gt;&lt;authors&gt;&lt;author&gt;Solove, Daniel J&lt;/author&gt;&lt;/authors&gt;&lt;/contributors&gt;&lt;titles&gt;&lt;title&gt;Nothing to hide: The false tradeoff between privacy abd security.&lt;/title&gt;&lt;/titles&gt;&lt;dates&gt;&lt;year&gt;2012&lt;/year&gt;&lt;/dates&gt;&lt;urls&gt;&lt;/urls&gt;&lt;/record&gt;&lt;/Cite&gt;&lt;/EndNote&gt;</w:instrText>
      </w:r>
      <w:r w:rsidR="00732347">
        <w:fldChar w:fldCharType="separate"/>
      </w:r>
      <w:r w:rsidR="004221BE">
        <w:rPr>
          <w:noProof/>
        </w:rPr>
        <w:t>(11, 12)</w:t>
      </w:r>
      <w:r w:rsidR="00732347">
        <w:fldChar w:fldCharType="end"/>
      </w:r>
      <w:r w:rsidRPr="00BD78BD">
        <w:t xml:space="preserve">. As data privacy concerns grow and digital transactions become increasingly integral to daily life, the need for accessible and comprehensible ToS agreements has become urgent </w:t>
      </w:r>
      <w:r w:rsidR="00B61A97">
        <w:fldChar w:fldCharType="begin"/>
      </w:r>
      <w:r w:rsidR="004221BE">
        <w:instrText xml:space="preserve"> ADDIN EN.CITE &lt;EndNote&gt;&lt;Cite&gt;&lt;Author&gt;Plaut&lt;/Author&gt;&lt;Year&gt;2012&lt;/Year&gt;&lt;RecNum&gt;35&lt;/RecNum&gt;&lt;DisplayText&gt;(13, 14)&lt;/DisplayText&gt;&lt;record&gt;&lt;rec-number&gt;35&lt;/rec-number&gt;&lt;foreign-keys&gt;&lt;key app="EN" db-id="rzddz9xtze9xz3erwto5zafcd5w22rsasxfx" timestamp="1715809408"&gt;35&lt;/key&gt;&lt;/foreign-keys&gt;&lt;ref-type name="Journal Article"&gt;17&lt;/ref-type&gt;&lt;contributors&gt;&lt;authors&gt;&lt;author&gt;Plaut, Victoria C&lt;/author&gt;&lt;author&gt;Bartlett III, Robert P&lt;/author&gt;&lt;/authors&gt;&lt;/contributors&gt;&lt;titles&gt;&lt;title&gt;Blind consent? A social psychological investigation of non-readership of click-through agreements&lt;/title&gt;&lt;secondary-title&gt;Law and human behavior&lt;/secondary-title&gt;&lt;/titles&gt;&lt;periodical&gt;&lt;full-title&gt;Law and human behavior&lt;/full-title&gt;&lt;/periodical&gt;&lt;pages&gt;293&lt;/pages&gt;&lt;volume&gt;36&lt;/volume&gt;&lt;number&gt;4&lt;/number&gt;&lt;dates&gt;&lt;year&gt;2012&lt;/year&gt;&lt;/dates&gt;&lt;isbn&gt;1573-661X&lt;/isbn&gt;&lt;urls&gt;&lt;/urls&gt;&lt;/record&gt;&lt;/Cite&gt;&lt;Cite&gt;&lt;Author&gt;Wiśniewska&lt;/Author&gt;&lt;Year&gt;2023&lt;/Year&gt;&lt;RecNum&gt;11&lt;/RecNum&gt;&lt;record&gt;&lt;rec-number&gt;11&lt;/rec-number&gt;&lt;foreign-keys&gt;&lt;key app="EN" db-id="rzddz9xtze9xz3erwto5zafcd5w22rsasxfx" timestamp="1715798752"&gt;11&lt;/key&gt;&lt;/foreign-keys&gt;&lt;ref-type name="Journal Article"&gt;17&lt;/ref-type&gt;&lt;contributors&gt;&lt;authors&gt;&lt;author&gt;Wiśniewska, Katarzyna&lt;/author&gt;&lt;author&gt;Pałka, Przemysław&lt;/author&gt;&lt;/authors&gt;&lt;/contributors&gt;&lt;titles&gt;&lt;title&gt;The impact of the Digital Content Directive on online platforms’ Terms of Service&lt;/title&gt;&lt;secondary-title&gt;Yearbook of European Law&lt;/secondary-title&gt;&lt;/titles&gt;&lt;periodical&gt;&lt;full-title&gt;Yearbook of European Law&lt;/full-title&gt;&lt;/periodical&gt;&lt;pages&gt;yead004&lt;/pages&gt;&lt;dates&gt;&lt;year&gt;2023&lt;/year&gt;&lt;/dates&gt;&lt;isbn&gt;0263-3264&lt;/isbn&gt;&lt;urls&gt;&lt;/urls&gt;&lt;/record&gt;&lt;/Cite&gt;&lt;/EndNote&gt;</w:instrText>
      </w:r>
      <w:r w:rsidR="00B61A97">
        <w:fldChar w:fldCharType="separate"/>
      </w:r>
      <w:r w:rsidR="004221BE">
        <w:rPr>
          <w:noProof/>
        </w:rPr>
        <w:t>(13, 14)</w:t>
      </w:r>
      <w:r w:rsidR="00B61A97">
        <w:fldChar w:fldCharType="end"/>
      </w:r>
      <w:r w:rsidRPr="00BD78BD">
        <w:t>.</w:t>
      </w:r>
    </w:p>
    <w:p w14:paraId="413E40CE" w14:textId="092B529C" w:rsidR="00BD78BD" w:rsidRPr="00BD78BD" w:rsidRDefault="00BD78BD" w:rsidP="00BD78BD">
      <w:pPr>
        <w:jc w:val="both"/>
      </w:pPr>
      <w:r w:rsidRPr="00BD78BD">
        <w:t xml:space="preserve">Attempts to address this issue, such as providing bullet-point summaries or reformatting documents for readability, have shown limited success. These efforts often fail to fully overcome the complexity of legal language or adapt to diverse user needs </w:t>
      </w:r>
      <w:r w:rsidR="00B0210B">
        <w:fldChar w:fldCharType="begin"/>
      </w:r>
      <w:r w:rsidR="004221BE">
        <w:instrText xml:space="preserve"> ADDIN EN.CITE &lt;EndNote&gt;&lt;Cite&gt;&lt;Author&gt;Hartzog&lt;/Author&gt;&lt;Year&gt;2018&lt;/Year&gt;&lt;RecNum&gt;44&lt;/RecNum&gt;&lt;DisplayText&gt;(15, 16)&lt;/DisplayText&gt;&lt;record&gt;&lt;rec-number&gt;44&lt;/rec-number&gt;&lt;foreign-keys&gt;&lt;key app="EN" db-id="rzddz9xtze9xz3erwto5zafcd5w22rsasxfx" timestamp="1718103338"&gt;44&lt;/key&gt;&lt;/foreign-keys&gt;&lt;ref-type name="Book"&gt;6&lt;/ref-type&gt;&lt;contributors&gt;&lt;authors&gt;&lt;author&gt;Hartzog, Woodrow&lt;/author&gt;&lt;/authors&gt;&lt;/contributors&gt;&lt;titles&gt;&lt;title&gt;Privacy&amp;apos;s Blueprint: The Battle to Control the Design of New Technologies&lt;/title&gt;&lt;/titles&gt;&lt;dates&gt;&lt;year&gt;2018&lt;/year&gt;&lt;/dates&gt;&lt;publisher&gt;Harvard University Press&lt;/publisher&gt;&lt;isbn&gt;0674976002&lt;/isbn&gt;&lt;urls&gt;&lt;/urls&gt;&lt;/record&gt;&lt;/Cite&gt;&lt;Cite&gt;&lt;Author&gt;Marotta-Wurgler&lt;/Author&gt;&lt;Year&gt;2012&lt;/Year&gt;&lt;RecNum&gt;40&lt;/RecNum&gt;&lt;record&gt;&lt;rec-number&gt;40&lt;/rec-number&gt;&lt;foreign-keys&gt;&lt;key app="EN" db-id="rzddz9xtze9xz3erwto5zafcd5w22rsasxfx" timestamp="1715814346"&gt;40&lt;/key&gt;&lt;/foreign-keys&gt;&lt;ref-type name="Journal Article"&gt;17&lt;/ref-type&gt;&lt;contributors&gt;&lt;authors&gt;&lt;author&gt;Marotta-Wurgler, Florencia&lt;/author&gt;&lt;author&gt;Chen, Daniel L&lt;/author&gt;&lt;/authors&gt;&lt;/contributors&gt;&lt;titles&gt;&lt;title&gt;Does contract disclosure matter?[with comment]&lt;/title&gt;&lt;secondary-title&gt;Journal of Institutional and Theoretical Economics (JITE)/Zeitschrift für die gesamte Staatswissenschaft&lt;/secondary-title&gt;&lt;/titles&gt;&lt;periodical&gt;&lt;full-title&gt;Journal of Institutional and Theoretical Economics (JITE)/Zeitschrift für die gesamte Staatswissenschaft&lt;/full-title&gt;&lt;/periodical&gt;&lt;pages&gt;94-123&lt;/pages&gt;&lt;dates&gt;&lt;year&gt;2012&lt;/year&gt;&lt;/dates&gt;&lt;isbn&gt;0932-4569&lt;/isbn&gt;&lt;urls&gt;&lt;/urls&gt;&lt;/record&gt;&lt;/Cite&gt;&lt;/EndNote&gt;</w:instrText>
      </w:r>
      <w:r w:rsidR="00B0210B">
        <w:fldChar w:fldCharType="separate"/>
      </w:r>
      <w:r w:rsidR="004221BE">
        <w:rPr>
          <w:noProof/>
        </w:rPr>
        <w:t>(15, 16)</w:t>
      </w:r>
      <w:r w:rsidR="00B0210B">
        <w:fldChar w:fldCharType="end"/>
      </w:r>
      <w:r w:rsidRPr="00BD78BD">
        <w:t xml:space="preserve">. Furthermore, while regulatory frameworks like the General Data Protection Regulation (GDPR) </w:t>
      </w:r>
      <w:r w:rsidR="00596912">
        <w:t>emphasise</w:t>
      </w:r>
      <w:r w:rsidRPr="00BD78BD">
        <w:t xml:space="preserve"> transparency and accessibility, these measures alone have not closed the comprehension gap </w:t>
      </w:r>
      <w:r w:rsidR="005F7873">
        <w:fldChar w:fldCharType="begin"/>
      </w:r>
      <w:r w:rsidR="004221BE">
        <w:instrText xml:space="preserve"> ADDIN EN.CITE &lt;EndNote&gt;&lt;Cite&gt;&lt;Author&gt;Voigt&lt;/Author&gt;&lt;Year&gt;2017&lt;/Year&gt;&lt;RecNum&gt;4&lt;/RecNum&gt;&lt;DisplayText&gt;(17)&lt;/DisplayText&gt;&lt;record&gt;&lt;rec-number&gt;4&lt;/rec-number&gt;&lt;foreign-keys&gt;&lt;key app="EN" db-id="rzddz9xtze9xz3erwto5zafcd5w22rsasxfx" timestamp="1715603379"&gt;4&lt;/key&gt;&lt;/foreign-keys&gt;&lt;ref-type name="Journal Article"&gt;17&lt;/ref-type&gt;&lt;contributors&gt;&lt;authors&gt;&lt;author&gt;Voigt, Paul&lt;/author&gt;&lt;author&gt;Von dem Bussche, Axel&lt;/author&gt;&lt;/authors&gt;&lt;/contributors&gt;&lt;titles&gt;&lt;title&gt;The EU General Data Protection Regulation (GDPR)&lt;/title&gt;&lt;secondary-title&gt;A Practical Guide, 1st Ed., Cham: Springer International Publishing&lt;/secondary-title&gt;&lt;/titles&gt;&lt;periodical&gt;&lt;full-title&gt;A Practical Guide, 1st Ed., Cham: Springer International Publishing&lt;/full-title&gt;&lt;/periodical&gt;&lt;pages&gt;10-5555&lt;/pages&gt;&lt;volume&gt;10&lt;/volume&gt;&lt;number&gt;3152676&lt;/number&gt;&lt;dates&gt;&lt;year&gt;2017&lt;/year&gt;&lt;/dates&gt;&lt;urls&gt;&lt;/urls&gt;&lt;/record&gt;&lt;/Cite&gt;&lt;/EndNote&gt;</w:instrText>
      </w:r>
      <w:r w:rsidR="005F7873">
        <w:fldChar w:fldCharType="separate"/>
      </w:r>
      <w:r w:rsidR="004221BE">
        <w:rPr>
          <w:noProof/>
        </w:rPr>
        <w:t>(17)</w:t>
      </w:r>
      <w:r w:rsidR="005F7873">
        <w:fldChar w:fldCharType="end"/>
      </w:r>
      <w:r w:rsidRPr="00BD78BD">
        <w:t xml:space="preserve">. The disconnect between regulatory compliance and meaningful user engagement persists, leaving users vulnerable to uninformed decision-making </w:t>
      </w:r>
      <w:r w:rsidR="00A75D16">
        <w:fldChar w:fldCharType="begin"/>
      </w:r>
      <w:r w:rsidR="004221BE">
        <w:instrText xml:space="preserve"> ADDIN EN.CITE &lt;EndNote&gt;&lt;Cite&gt;&lt;Author&gt;Lutz&lt;/Author&gt;&lt;Year&gt;2018&lt;/Year&gt;&lt;RecNum&gt;61&lt;/RecNum&gt;&lt;DisplayText&gt;(11, 18)&lt;/DisplayText&gt;&lt;record&gt;&lt;rec-number&gt;61&lt;/rec-number&gt;&lt;foreign-keys&gt;&lt;key app="EN" db-id="rzddz9xtze9xz3erwto5zafcd5w22rsasxfx" timestamp="1718108167"&gt;61&lt;/key&gt;&lt;/foreign-keys&gt;&lt;ref-type name="Journal Article"&gt;17&lt;/ref-type&gt;&lt;contributors&gt;&lt;authors&gt;&lt;author&gt;Lutz, Christoph&lt;/author&gt;&lt;author&gt;Hoffmann, Christian Pieter&lt;/author&gt;&lt;author&gt;Bucher, Eliane&lt;/author&gt;&lt;author&gt;Fieseler, Christian&lt;/author&gt;&lt;/authors&gt;&lt;/contributors&gt;&lt;titles&gt;&lt;title&gt;The role of privacy concerns in the sharing economy&lt;/title&gt;&lt;secondary-title&gt;Information, Communication &amp;amp; Society&lt;/secondary-title&gt;&lt;/titles&gt;&lt;periodical&gt;&lt;full-title&gt;Information, Communication &amp;amp; Society&lt;/full-title&gt;&lt;/periodical&gt;&lt;pages&gt;1472-1492&lt;/pages&gt;&lt;volume&gt;21&lt;/volume&gt;&lt;number&gt;10&lt;/number&gt;&lt;dates&gt;&lt;year&gt;2018&lt;/year&gt;&lt;/dates&gt;&lt;isbn&gt;1369-118X&lt;/isbn&gt;&lt;urls&gt;&lt;/urls&gt;&lt;/record&gt;&lt;/Cite&gt;&lt;Cite&gt;&lt;Author&gt;Madden&lt;/Author&gt;&lt;Year&gt;2017&lt;/Year&gt;&lt;RecNum&gt;10&lt;/RecNum&gt;&lt;record&gt;&lt;rec-number&gt;10&lt;/rec-number&gt;&lt;foreign-keys&gt;&lt;key app="EN" db-id="rzddz9xtze9xz3erwto5zafcd5w22rsasxfx" timestamp="1715605741"&gt;10&lt;/key&gt;&lt;/foreign-keys&gt;&lt;ref-type name="Journal Article"&gt;17&lt;/ref-type&gt;&lt;contributors&gt;&lt;authors&gt;&lt;author&gt;Madden, Mary&lt;/author&gt;&lt;author&gt;Gilman, Michele&lt;/author&gt;&lt;author&gt;Levy, Karen&lt;/author&gt;&lt;author&gt;Marwick, Alice&lt;/author&gt;&lt;/authors&gt;&lt;/contributors&gt;&lt;titles&gt;&lt;title&gt;Privacy, poverty, and big data: A matrix of vulnerabilities for poor Americans&lt;/title&gt;&lt;secondary-title&gt;Wash. UL Rev.&lt;/secondary-title&gt;&lt;/titles&gt;&lt;periodical&gt;&lt;full-title&gt;Wash. UL Rev.&lt;/full-title&gt;&lt;/periodical&gt;&lt;pages&gt;53&lt;/pages&gt;&lt;volume&gt;95&lt;/volume&gt;&lt;dates&gt;&lt;year&gt;2017&lt;/year&gt;&lt;/dates&gt;&lt;urls&gt;&lt;/urls&gt;&lt;/record&gt;&lt;/Cite&gt;&lt;/EndNote&gt;</w:instrText>
      </w:r>
      <w:r w:rsidR="00A75D16">
        <w:fldChar w:fldCharType="separate"/>
      </w:r>
      <w:r w:rsidR="004221BE">
        <w:rPr>
          <w:noProof/>
        </w:rPr>
        <w:t>(11, 18)</w:t>
      </w:r>
      <w:r w:rsidR="00A75D16">
        <w:fldChar w:fldCharType="end"/>
      </w:r>
      <w:r w:rsidRPr="00BD78BD">
        <w:t>.</w:t>
      </w:r>
    </w:p>
    <w:p w14:paraId="0C48F77B" w14:textId="15CE128D" w:rsidR="00BD78BD" w:rsidRPr="00BD78BD" w:rsidRDefault="00BD78BD" w:rsidP="00BD78BD">
      <w:pPr>
        <w:jc w:val="both"/>
      </w:pPr>
      <w:r w:rsidRPr="00BD78BD">
        <w:t xml:space="preserve">The barriers to engaging with ToS agreements are both structural and cognitive. Structurally, ToS documents are often thousands of words long and written at a reading level far beyond the average user’s proficiency </w:t>
      </w:r>
      <w:r w:rsidR="00857AE0">
        <w:fldChar w:fldCharType="begin"/>
      </w:r>
      <w:r w:rsidR="004221BE">
        <w:instrText xml:space="preserve"> ADDIN EN.CITE &lt;EndNote&gt;&lt;Cite&gt;&lt;Author&gt;Marotta-Wurgler&lt;/Author&gt;&lt;Year&gt;2012&lt;/Year&gt;&lt;RecNum&gt;40&lt;/RecNum&gt;&lt;DisplayText&gt;(7, 16)&lt;/DisplayText&gt;&lt;record&gt;&lt;rec-number&gt;40&lt;/rec-number&gt;&lt;foreign-keys&gt;&lt;key app="EN" db-id="rzddz9xtze9xz3erwto5zafcd5w22rsasxfx" timestamp="1715814346"&gt;40&lt;/key&gt;&lt;/foreign-keys&gt;&lt;ref-type name="Journal Article"&gt;17&lt;/ref-type&gt;&lt;contributors&gt;&lt;authors&gt;&lt;author&gt;Marotta-Wurgler, Florencia&lt;/author&gt;&lt;author&gt;Chen, Daniel L&lt;/author&gt;&lt;/authors&gt;&lt;/contributors&gt;&lt;titles&gt;&lt;title&gt;Does contract disclosure matter?[with comment]&lt;/title&gt;&lt;secondary-title&gt;Journal of Institutional and Theoretical Economics (JITE)/Zeitschrift für die gesamte Staatswissenschaft&lt;/secondary-title&gt;&lt;/titles&gt;&lt;periodical&gt;&lt;full-title&gt;Journal of Institutional and Theoretical Economics (JITE)/Zeitschrift für die gesamte Staatswissenschaft&lt;/full-title&gt;&lt;/periodical&gt;&lt;pages&gt;94-123&lt;/pages&gt;&lt;dates&gt;&lt;year&gt;2012&lt;/year&gt;&lt;/dates&gt;&lt;isbn&gt;0932-4569&lt;/isbn&gt;&lt;urls&gt;&lt;/urls&gt;&lt;/record&gt;&lt;/Cite&gt;&lt;Cite&gt;&lt;Author&gt;Reidenberg&lt;/Author&gt;&lt;Year&gt;2015&lt;/Year&gt;&lt;RecNum&gt;1&lt;/RecNum&gt;&lt;record&gt;&lt;rec-number&gt;1&lt;/rec-number&gt;&lt;foreign-keys&gt;&lt;key app="EN" db-id="rzddz9xtze9xz3erwto5zafcd5w22rsasxfx" timestamp="1715598386"&gt;1&lt;/key&gt;&lt;/foreign-keys&gt;&lt;ref-type name="Journal Article"&gt;17&lt;/ref-type&gt;&lt;contributors&gt;&lt;authors&gt;&lt;author&gt;Reidenberg, Joel R&lt;/author&gt;&lt;author&gt;Breaux, Travis&lt;/author&gt;&lt;author&gt;Cranor, Lorrie Faith&lt;/author&gt;&lt;author&gt;French, Brian&lt;/author&gt;&lt;author&gt;Grannis, Amanda&lt;/author&gt;&lt;author&gt;Graves, James T&lt;/author&gt;&lt;author&gt;Liu, Fei&lt;/author&gt;&lt;author&gt;McDonald, Aleecia&lt;/author&gt;&lt;author&gt;Norton, Thomas B&lt;/author&gt;&lt;author&gt;Ramanath, Rohan&lt;/author&gt;&lt;/authors&gt;&lt;/contributors&gt;&lt;titles&gt;&lt;title&gt;Disagreeable privacy policies: Mismatches between meaning and users&amp;apos; understanding&lt;/title&gt;&lt;secondary-title&gt;Berkeley Tech. LJ&lt;/secondary-title&gt;&lt;/titles&gt;&lt;periodical&gt;&lt;full-title&gt;Berkeley Tech. LJ&lt;/full-title&gt;&lt;/periodical&gt;&lt;pages&gt;39&lt;/pages&gt;&lt;volume&gt;30&lt;/volume&gt;&lt;dates&gt;&lt;year&gt;2015&lt;/year&gt;&lt;/dates&gt;&lt;urls&gt;&lt;/urls&gt;&lt;/record&gt;&lt;/Cite&gt;&lt;/EndNote&gt;</w:instrText>
      </w:r>
      <w:r w:rsidR="00857AE0">
        <w:fldChar w:fldCharType="separate"/>
      </w:r>
      <w:r w:rsidR="004221BE">
        <w:rPr>
          <w:noProof/>
        </w:rPr>
        <w:t>(7, 16)</w:t>
      </w:r>
      <w:r w:rsidR="00857AE0">
        <w:fldChar w:fldCharType="end"/>
      </w:r>
      <w:r w:rsidRPr="00BD78BD">
        <w:t xml:space="preserve">. Cognitively, users face information overload and perceive these documents as irrelevant compared to the convenience of accessing digital services </w:t>
      </w:r>
      <w:r w:rsidR="00717DE3">
        <w:fldChar w:fldCharType="begin"/>
      </w:r>
      <w:r w:rsidR="004221BE">
        <w:instrText xml:space="preserve"> ADDIN EN.CITE &lt;EndNote&gt;&lt;Cite&gt;&lt;Author&gt;Belli&lt;/Author&gt;&lt;Year&gt;2016&lt;/Year&gt;&lt;RecNum&gt;12&lt;/RecNum&gt;&lt;DisplayText&gt;(4, 19)&lt;/DisplayText&gt;&lt;record&gt;&lt;rec-number&gt;12&lt;/rec-number&gt;&lt;foreign-keys&gt;&lt;key app="EN" db-id="rzddz9xtze9xz3erwto5zafcd5w22rsasxfx" timestamp="1715798952"&gt;12&lt;/key&gt;&lt;/foreign-keys&gt;&lt;ref-type name="Journal Article"&gt;17&lt;/ref-type&gt;&lt;contributors&gt;&lt;authors&gt;&lt;author&gt;Belli, Luca&lt;/author&gt;&lt;author&gt;Venturini, Jamila&lt;/author&gt;&lt;/authors&gt;&lt;/contributors&gt;&lt;titles&gt;&lt;title&gt;Private ordering and the rise of terms of service as cyber-regulation&lt;/title&gt;&lt;secondary-title&gt;Belli, L. &amp;amp; Venturini, J.(2016). Private Ordering and the Rise of Terms of Service as Cyber-Regulation. Internet Policy Review&lt;/secondary-title&gt;&lt;/titles&gt;&lt;periodical&gt;&lt;full-title&gt;Belli, L. &amp;amp; Venturini, J.(2016). Private Ordering and the Rise of Terms of Service as Cyber-Regulation. Internet Policy Review&lt;/full-title&gt;&lt;/periodical&gt;&lt;volume&gt;5&lt;/volume&gt;&lt;number&gt;4&lt;/number&gt;&lt;dates&gt;&lt;year&gt;2016&lt;/year&gt;&lt;/dates&gt;&lt;urls&gt;&lt;/urls&gt;&lt;/record&gt;&lt;/Cite&gt;&lt;Cite&gt;&lt;Author&gt;Obar&lt;/Author&gt;&lt;Year&gt;2020&lt;/Year&gt;&lt;RecNum&gt;9&lt;/RecNum&gt;&lt;record&gt;&lt;rec-number&gt;9&lt;/rec-number&gt;&lt;foreign-keys&gt;&lt;key app="EN" db-id="rzddz9xtze9xz3erwto5zafcd5w22rsasxfx" timestamp="1715605717"&gt;9&lt;/key&gt;&lt;/foreign-keys&gt;&lt;ref-type name="Journal Article"&gt;17&lt;/ref-type&gt;&lt;contributors&gt;&lt;authors&gt;&lt;author&gt;Obar, Jonathan A&lt;/author&gt;&lt;author&gt;Oeldorf-Hirsch, Anne&lt;/author&gt;&lt;/authors&gt;&lt;/contributors&gt;&lt;titles&gt;&lt;title&gt;The biggest lie on the internet: Ignoring the privacy policies and terms of service policies of social networking services&lt;/title&gt;&lt;secondary-title&gt;Information, Communication &amp;amp; Society&lt;/secondary-title&gt;&lt;/titles&gt;&lt;periodical&gt;&lt;full-title&gt;Information, Communication &amp;amp; Society&lt;/full-title&gt;&lt;/periodical&gt;&lt;pages&gt;128-147&lt;/pages&gt;&lt;volume&gt;23&lt;/volume&gt;&lt;number&gt;1&lt;/number&gt;&lt;dates&gt;&lt;year&gt;2020&lt;/year&gt;&lt;/dates&gt;&lt;isbn&gt;1369-118X&lt;/isbn&gt;&lt;urls&gt;&lt;/urls&gt;&lt;/record&gt;&lt;/Cite&gt;&lt;/EndNote&gt;</w:instrText>
      </w:r>
      <w:r w:rsidR="00717DE3">
        <w:fldChar w:fldCharType="separate"/>
      </w:r>
      <w:r w:rsidR="004221BE">
        <w:rPr>
          <w:noProof/>
        </w:rPr>
        <w:t>(4, 19)</w:t>
      </w:r>
      <w:r w:rsidR="00717DE3">
        <w:fldChar w:fldCharType="end"/>
      </w:r>
      <w:r w:rsidRPr="00BD78BD">
        <w:t xml:space="preserve">. This combination of structural complexity and cognitive burden discourages engagement, leaving most users disengaged and uninformed </w:t>
      </w:r>
      <w:r w:rsidR="00B2357F">
        <w:fldChar w:fldCharType="begin"/>
      </w:r>
      <w:r w:rsidR="004221BE">
        <w:instrText xml:space="preserve"> ADDIN EN.CITE &lt;EndNote&gt;&lt;Cite&gt;&lt;Author&gt;Ben-Shahar&lt;/Author&gt;&lt;Year&gt;2014&lt;/Year&gt;&lt;RecNum&gt;63&lt;/RecNum&gt;&lt;DisplayText&gt;(9, 20)&lt;/DisplayText&gt;&lt;record&gt;&lt;rec-number&gt;63&lt;/rec-number&gt;&lt;foreign-keys&gt;&lt;key app="EN" db-id="rzddz9xtze9xz3erwto5zafcd5w22rsasxfx" timestamp="1718115852"&gt;63&lt;/key&gt;&lt;/foreign-keys&gt;&lt;ref-type name="Book"&gt;6&lt;/ref-type&gt;&lt;contributors&gt;&lt;authors&gt;&lt;author&gt;Ben-Shahar, Omri&lt;/author&gt;&lt;author&gt;Schneider, Carl E&lt;/author&gt;&lt;/authors&gt;&lt;/contributors&gt;&lt;titles&gt;&lt;title&gt;More than you wanted to know: The Failure of Mandated Disclosure&lt;/title&gt;&lt;/titles&gt;&lt;dates&gt;&lt;year&gt;2014&lt;/year&gt;&lt;/dates&gt;&lt;publisher&gt;Princeton University Press&lt;/publisher&gt;&lt;isbn&gt;140085038X&lt;/isbn&gt;&lt;urls&gt;&lt;/urls&gt;&lt;/record&gt;&lt;/Cite&gt;&lt;Cite&gt;&lt;Author&gt;Solove&lt;/Author&gt;&lt;Year&gt;2010&lt;/Year&gt;&lt;RecNum&gt;60&lt;/RecNum&gt;&lt;record&gt;&lt;rec-number&gt;60&lt;/rec-number&gt;&lt;foreign-keys&gt;&lt;key app="EN" db-id="rzddz9xtze9xz3erwto5zafcd5w22rsasxfx" timestamp="1718108109"&gt;60&lt;/key&gt;&lt;/foreign-keys&gt;&lt;ref-type name="Book"&gt;6&lt;/ref-type&gt;&lt;contributors&gt;&lt;authors&gt;&lt;author&gt;Solove, Daniel J&lt;/author&gt;&lt;/authors&gt;&lt;/contributors&gt;&lt;titles&gt;&lt;title&gt;Understanding privacy&lt;/title&gt;&lt;/titles&gt;&lt;dates&gt;&lt;year&gt;2010&lt;/year&gt;&lt;/dates&gt;&lt;publisher&gt;Harvard university press&lt;/publisher&gt;&lt;isbn&gt;0674972031&lt;/isbn&gt;&lt;urls&gt;&lt;/urls&gt;&lt;/record&gt;&lt;/Cite&gt;&lt;/EndNote&gt;</w:instrText>
      </w:r>
      <w:r w:rsidR="00B2357F">
        <w:fldChar w:fldCharType="separate"/>
      </w:r>
      <w:r w:rsidR="004221BE">
        <w:rPr>
          <w:noProof/>
        </w:rPr>
        <w:t>(9, 20)</w:t>
      </w:r>
      <w:r w:rsidR="00B2357F">
        <w:fldChar w:fldCharType="end"/>
      </w:r>
      <w:r w:rsidRPr="00BD78BD">
        <w:t>.</w:t>
      </w:r>
    </w:p>
    <w:p w14:paraId="664AD896" w14:textId="52EF23E2" w:rsidR="00BD78BD" w:rsidRPr="00BD78BD" w:rsidRDefault="00BD78BD" w:rsidP="00BD78BD">
      <w:pPr>
        <w:jc w:val="both"/>
      </w:pPr>
      <w:r w:rsidRPr="00BD78BD">
        <w:t xml:space="preserve">Advancements in artificial intelligence (AI) and natural language processing (NLP) offer a promising pathway to address these challenges. AI tools can </w:t>
      </w:r>
      <w:r w:rsidR="00596912">
        <w:t>analyse</w:t>
      </w:r>
      <w:r w:rsidRPr="00BD78BD">
        <w:t xml:space="preserve"> and </w:t>
      </w:r>
      <w:r w:rsidR="00596912">
        <w:t>distil</w:t>
      </w:r>
      <w:r w:rsidRPr="00BD78BD">
        <w:t xml:space="preserve"> dense legal texts into simplified, actionable content, reducing cognitive load and empowering users to make informed choices </w:t>
      </w:r>
      <w:r w:rsidR="001368E0">
        <w:fldChar w:fldCharType="begin"/>
      </w:r>
      <w:r w:rsidR="004221BE">
        <w:instrText xml:space="preserve"> ADDIN EN.CITE &lt;EndNote&gt;&lt;Cite&gt;&lt;Author&gt;Guarino&lt;/Author&gt;&lt;Year&gt;2021&lt;/Year&gt;&lt;RecNum&gt;17&lt;/RecNum&gt;&lt;DisplayText&gt;(14, 21)&lt;/DisplayText&gt;&lt;record&gt;&lt;rec-number&gt;17&lt;/rec-number&gt;&lt;foreign-keys&gt;&lt;key app="EN" db-id="rzddz9xtze9xz3erwto5zafcd5w22rsasxfx" timestamp="1715801785"&gt;17&lt;/key&gt;&lt;/foreign-keys&gt;&lt;ref-type name="Journal Article"&gt;17&lt;/ref-type&gt;&lt;contributors&gt;&lt;authors&gt;&lt;author&gt;Guarino, Alfonso&lt;/author&gt;&lt;author&gt;Lettieri, Nicola&lt;/author&gt;&lt;author&gt;Malandrino, Delfina&lt;/author&gt;&lt;author&gt;Zaccagnino, Rocco&lt;/author&gt;&lt;/authors&gt;&lt;/contributors&gt;&lt;titles&gt;&lt;title&gt;A machine learning-based approach to identify unlawful practices in online terms of service: analysis, implementation and evaluation&lt;/title&gt;&lt;secondary-title&gt;Neural Computing and Applications&lt;/secondary-title&gt;&lt;/titles&gt;&lt;periodical&gt;&lt;full-title&gt;Neural Computing and Applications&lt;/full-title&gt;&lt;/periodical&gt;&lt;pages&gt;17569-17587&lt;/pages&gt;&lt;volume&gt;33&lt;/volume&gt;&lt;number&gt;24&lt;/number&gt;&lt;dates&gt;&lt;year&gt;2021&lt;/year&gt;&lt;pub-dates&gt;&lt;date&gt;2021/12/01&lt;/date&gt;&lt;/pub-dates&gt;&lt;/dates&gt;&lt;isbn&gt;1433-3058&lt;/isbn&gt;&lt;urls&gt;&lt;related-urls&gt;&lt;url&gt;https://doi.org/10.1007/s00521-021-06343-6&lt;/url&gt;&lt;url&gt;https://link.springer.com/content/pdf/10.1007/s00521-021-06343-6.pdf&lt;/url&gt;&lt;/related-urls&gt;&lt;/urls&gt;&lt;electronic-resource-num&gt;10.1007/s00521-021-06343-6&lt;/electronic-resource-num&gt;&lt;/record&gt;&lt;/Cite&gt;&lt;Cite&gt;&lt;Author&gt;Wiśniewska&lt;/Author&gt;&lt;Year&gt;2023&lt;/Year&gt;&lt;RecNum&gt;11&lt;/RecNum&gt;&lt;record&gt;&lt;rec-number&gt;11&lt;/rec-number&gt;&lt;foreign-keys&gt;&lt;key app="EN" db-id="rzddz9xtze9xz3erwto5zafcd5w22rsasxfx" timestamp="1715798752"&gt;11&lt;/key&gt;&lt;/foreign-keys&gt;&lt;ref-type name="Journal Article"&gt;17&lt;/ref-type&gt;&lt;contributors&gt;&lt;authors&gt;&lt;author&gt;Wiśniewska, Katarzyna&lt;/author&gt;&lt;author&gt;Pałka, Przemysław&lt;/author&gt;&lt;/authors&gt;&lt;/contributors&gt;&lt;titles&gt;&lt;title&gt;The impact of the Digital Content Directive on online platforms’ Terms of Service&lt;/title&gt;&lt;secondary-title&gt;Yearbook of European Law&lt;/secondary-title&gt;&lt;/titles&gt;&lt;periodical&gt;&lt;full-title&gt;Yearbook of European Law&lt;/full-title&gt;&lt;/periodical&gt;&lt;pages&gt;yead004&lt;/pages&gt;&lt;dates&gt;&lt;year&gt;2023&lt;/year&gt;&lt;/dates&gt;&lt;isbn&gt;0263-3264&lt;/isbn&gt;&lt;urls&gt;&lt;/urls&gt;&lt;/record&gt;&lt;/Cite&gt;&lt;/EndNote&gt;</w:instrText>
      </w:r>
      <w:r w:rsidR="001368E0">
        <w:fldChar w:fldCharType="separate"/>
      </w:r>
      <w:r w:rsidR="004221BE">
        <w:rPr>
          <w:noProof/>
        </w:rPr>
        <w:t>(14, 21)</w:t>
      </w:r>
      <w:r w:rsidR="001368E0">
        <w:fldChar w:fldCharType="end"/>
      </w:r>
      <w:r w:rsidRPr="00BD78BD">
        <w:t xml:space="preserve">. However, such tools must be rigorously evaluated </w:t>
      </w:r>
      <w:r w:rsidR="006A622A">
        <w:t>to balance legal accuracy with accessibility and usability effectively</w:t>
      </w:r>
      <w:r w:rsidR="00596912" w:rsidRPr="00596912">
        <w:t xml:space="preserve"> </w:t>
      </w:r>
      <w:r w:rsidR="006A622A">
        <w:fldChar w:fldCharType="begin"/>
      </w:r>
      <w:r w:rsidR="004221BE">
        <w:instrText xml:space="preserve"> ADDIN EN.CITE &lt;EndNote&gt;&lt;Cite&gt;&lt;Author&gt;Acquisti&lt;/Author&gt;&lt;Year&gt;2005&lt;/Year&gt;&lt;RecNum&gt;51&lt;/RecNum&gt;&lt;DisplayText&gt;(5, 22)&lt;/DisplayText&gt;&lt;record&gt;&lt;rec-number&gt;51&lt;/rec-number&gt;&lt;foreign-keys&gt;&lt;key app="EN" db-id="rzddz9xtze9xz3erwto5zafcd5w22rsasxfx" timestamp="1718106737"&gt;51&lt;/key&gt;&lt;/foreign-keys&gt;&lt;ref-type name="Journal Article"&gt;17&lt;/ref-type&gt;&lt;contributors&gt;&lt;authors&gt;&lt;author&gt;Acquisti, Alessandro&lt;/author&gt;&lt;author&gt;Grossklags, Jens&lt;/author&gt;&lt;/authors&gt;&lt;/contributors&gt;&lt;titles&gt;&lt;title&gt;Privacy and rationality in individual decision making&lt;/title&gt;&lt;secondary-title&gt;IEEE security &amp;amp; privacy&lt;/secondary-title&gt;&lt;/titles&gt;&lt;periodical&gt;&lt;full-title&gt;IEEE security &amp;amp; privacy&lt;/full-title&gt;&lt;/periodical&gt;&lt;pages&gt;26-33&lt;/pages&gt;&lt;volume&gt;3&lt;/volume&gt;&lt;number&gt;1&lt;/number&gt;&lt;dates&gt;&lt;year&gt;2005&lt;/year&gt;&lt;/dates&gt;&lt;isbn&gt;1540-7993&lt;/isbn&gt;&lt;urls&gt;&lt;/urls&gt;&lt;/record&gt;&lt;/Cite&gt;&lt;Cite&gt;&lt;Author&gt;Böhme&lt;/Author&gt;&lt;Year&gt;2010&lt;/Year&gt;&lt;RecNum&gt;50&lt;/RecNum&gt;&lt;record&gt;&lt;rec-number&gt;50&lt;/rec-number&gt;&lt;foreign-keys&gt;&lt;key app="EN" db-id="rzddz9xtze9xz3erwto5zafcd5w22rsasxfx" timestamp="1718106694"&gt;50&lt;/key&gt;&lt;/foreign-keys&gt;&lt;ref-type name="Conference Proceedings"&gt;10&lt;/ref-type&gt;&lt;contributors&gt;&lt;authors&gt;&lt;author&gt;Böhme, Rainer&lt;/author&gt;&lt;author&gt;Köpsell, Stefan&lt;/author&gt;&lt;/authors&gt;&lt;/contributors&gt;&lt;titles&gt;&lt;title&gt;Trained to accept? A field experiment on consent dialogs&lt;/title&gt;&lt;secondary-title&gt;Proceedings of the SIGCHI conference on human factors in computing systems&lt;/secondary-title&gt;&lt;/titles&gt;&lt;pages&gt;2403-2406&lt;/pages&gt;&lt;dates&gt;&lt;year&gt;2010&lt;/year&gt;&lt;/dates&gt;&lt;urls&gt;&lt;/urls&gt;&lt;/record&gt;&lt;/Cite&gt;&lt;/EndNote&gt;</w:instrText>
      </w:r>
      <w:r w:rsidR="006A622A">
        <w:fldChar w:fldCharType="separate"/>
      </w:r>
      <w:r w:rsidR="004221BE">
        <w:rPr>
          <w:noProof/>
        </w:rPr>
        <w:t>(5, 22)</w:t>
      </w:r>
      <w:r w:rsidR="006A622A">
        <w:fldChar w:fldCharType="end"/>
      </w:r>
      <w:r w:rsidRPr="00BD78BD">
        <w:t>.</w:t>
      </w:r>
    </w:p>
    <w:p w14:paraId="6063E774" w14:textId="7900FEAE" w:rsidR="00BD78BD" w:rsidRPr="00BD78BD" w:rsidRDefault="00BD78BD" w:rsidP="00BD78BD">
      <w:pPr>
        <w:jc w:val="both"/>
      </w:pPr>
      <w:r w:rsidRPr="00BD78BD">
        <w:t xml:space="preserve">This study introduces ToSSimplify, an AI-powered browser extension that simplifies ToS agreements. Using NLP algorithms, ToSSimplify identifies key clauses, </w:t>
      </w:r>
      <w:r w:rsidR="00596912">
        <w:t>summarises</w:t>
      </w:r>
      <w:r w:rsidRPr="00BD78BD">
        <w:t xml:space="preserve"> critical information, and presents it in an interactive, user-friendly format. </w:t>
      </w:r>
      <w:r w:rsidR="00F15CF3">
        <w:t>In</w:t>
      </w:r>
      <w:r w:rsidRPr="00BD78BD">
        <w:t xml:space="preserve"> addressing the primary barriers to ToS engagement (complexity, length, and accessibility), ToSSimplify seeks to bridge the gap between user comprehension and legal compliance. Specifically, this research investigates the following: (1) the primary barriers preventing users from engaging with ToS agreements, (2) the effectiveness of AI-driven tools in improving comprehension and engagement, and (3) the demographic and contextual factors influencing user interaction with simplified ToS.</w:t>
      </w:r>
    </w:p>
    <w:p w14:paraId="3939F123" w14:textId="57B6284C" w:rsidR="00F4297C" w:rsidRPr="0001534D" w:rsidRDefault="00F4297C" w:rsidP="003A21CD">
      <w:pPr>
        <w:pStyle w:val="Heading1"/>
        <w:rPr>
          <w:rStyle w:val="Emphasis"/>
          <w:i w:val="0"/>
          <w:iCs w:val="0"/>
        </w:rPr>
      </w:pPr>
      <w:r w:rsidRPr="0001534D">
        <w:rPr>
          <w:rStyle w:val="Emphasis"/>
          <w:i w:val="0"/>
          <w:iCs w:val="0"/>
        </w:rPr>
        <w:t>Methods</w:t>
      </w:r>
    </w:p>
    <w:p w14:paraId="30EE13D3" w14:textId="77777777" w:rsidR="00E95950" w:rsidRPr="00E95950" w:rsidRDefault="00E95950" w:rsidP="00E95950">
      <w:pPr>
        <w:jc w:val="both"/>
        <w:rPr>
          <w:b/>
          <w:bCs/>
        </w:rPr>
      </w:pPr>
      <w:r w:rsidRPr="00E95950">
        <w:rPr>
          <w:b/>
          <w:bCs/>
        </w:rPr>
        <w:t>Study Design</w:t>
      </w:r>
    </w:p>
    <w:p w14:paraId="7E3AE3CB" w14:textId="1C3AA6E0" w:rsidR="00FC75AF" w:rsidRPr="00FC75AF" w:rsidRDefault="00FC75AF" w:rsidP="00FC75AF">
      <w:pPr>
        <w:jc w:val="both"/>
      </w:pPr>
      <w:r w:rsidRPr="00FC75AF">
        <w:t xml:space="preserve">This study adopted a mixed-methods design to comprehensively investigate user engagement with Terms of Service (ToS) agreements and evaluate the effectiveness of an AI-powered tool, ToSSimplify, developed to simplify these agreements. The mixed-methods approach combined quantitative surveys to capture broad user behaviour patterns and qualitative usability testing to delve into the nuances of user interaction with the tool. Mixed-methods research </w:t>
      </w:r>
      <w:r w:rsidR="003B469C">
        <w:t>provides</w:t>
      </w:r>
      <w:r w:rsidRPr="00FC75AF">
        <w:t xml:space="preserve"> a holistic understanding of complex social phenomena </w:t>
      </w:r>
      <w:r w:rsidR="000F70FD">
        <w:fldChar w:fldCharType="begin"/>
      </w:r>
      <w:r w:rsidR="004221BE">
        <w:instrText xml:space="preserve"> ADDIN EN.CITE &lt;EndNote&gt;&lt;Cite&gt;&lt;Author&gt;Creswell&lt;/Author&gt;&lt;Year&gt;2009&lt;/Year&gt;&lt;RecNum&gt;114&lt;/RecNum&gt;&lt;DisplayText&gt;(23)&lt;/DisplayText&gt;&lt;record&gt;&lt;rec-number&gt;114&lt;/rec-number&gt;&lt;foreign-keys&gt;&lt;key app="EN" db-id="rzddz9xtze9xz3erwto5zafcd5w22rsasxfx" timestamp="1718585202"&gt;114&lt;/key&gt;&lt;/foreign-keys&gt;&lt;ref-type name="Generic"&gt;13&lt;/ref-type&gt;&lt;contributors&gt;&lt;authors&gt;&lt;author&gt;Creswell, John W&lt;/author&gt;&lt;/authors&gt;&lt;/contributors&gt;&lt;titles&gt;&lt;title&gt;Mapping the field of mixed methods research&lt;/title&gt;&lt;/titles&gt;&lt;pages&gt;95-108&lt;/pages&gt;&lt;volume&gt;3&lt;/volume&gt;&lt;number&gt;2&lt;/number&gt;&lt;dates&gt;&lt;year&gt;2009&lt;/year&gt;&lt;/dates&gt;&lt;publisher&gt;SAGE publications Sage CA: Los Angeles, CA&lt;/publisher&gt;&lt;isbn&gt;1558-6898&lt;/isbn&gt;&lt;urls&gt;&lt;/urls&gt;&lt;/record&gt;&lt;/Cite&gt;&lt;/EndNote&gt;</w:instrText>
      </w:r>
      <w:r w:rsidR="000F70FD">
        <w:fldChar w:fldCharType="separate"/>
      </w:r>
      <w:r w:rsidR="004221BE">
        <w:rPr>
          <w:noProof/>
        </w:rPr>
        <w:t>(23)</w:t>
      </w:r>
      <w:r w:rsidR="000F70FD">
        <w:fldChar w:fldCharType="end"/>
      </w:r>
      <w:r w:rsidR="00B37A45">
        <w:t xml:space="preserve">This dual approach enabled a robust exploration of </w:t>
      </w:r>
      <w:r w:rsidR="006602DD">
        <w:t>users’ challenges</w:t>
      </w:r>
      <w:r w:rsidR="00B37A45">
        <w:t xml:space="preserve"> when engaging with ToS documents and provided detailed insights into the proposed </w:t>
      </w:r>
      <w:r w:rsidR="00BC0D16">
        <w:t>solution’s</w:t>
      </w:r>
      <w:r w:rsidR="00B37A45">
        <w:t xml:space="preserve"> usability and impact</w:t>
      </w:r>
      <w:r w:rsidRPr="00FC75AF">
        <w:t>.</w:t>
      </w:r>
    </w:p>
    <w:p w14:paraId="3441DE01" w14:textId="77777777" w:rsidR="00FC75AF" w:rsidRPr="00FC75AF" w:rsidRDefault="00FC75AF" w:rsidP="00FC75AF">
      <w:pPr>
        <w:jc w:val="both"/>
        <w:rPr>
          <w:b/>
          <w:bCs/>
        </w:rPr>
      </w:pPr>
      <w:r w:rsidRPr="00FC75AF">
        <w:rPr>
          <w:b/>
          <w:bCs/>
        </w:rPr>
        <w:t>Study Setting and Population</w:t>
      </w:r>
    </w:p>
    <w:p w14:paraId="5DEE9E8F" w14:textId="4F9B978C" w:rsidR="00FC75AF" w:rsidRPr="00FC75AF" w:rsidRDefault="00FC75AF" w:rsidP="00FC75AF">
      <w:pPr>
        <w:jc w:val="both"/>
      </w:pPr>
      <w:r w:rsidRPr="00FC75AF">
        <w:t xml:space="preserve">The study was conducted in Bournemouth, United Kingdom, targeting adults who regularly engage with digital platforms requiring ToS agreements. Bournemouth was selected for its diverse demographic composition and access to a population familiar with online platforms, making it an ideal setting for capturing varied perspectives </w:t>
      </w:r>
      <w:r w:rsidR="00657AE6">
        <w:fldChar w:fldCharType="begin"/>
      </w:r>
      <w:r w:rsidR="004221BE">
        <w:instrText xml:space="preserve"> ADDIN EN.CITE &lt;EndNote&gt;&lt;Cite&gt;&lt;Author&gt;Cochran&lt;/Author&gt;&lt;Year&gt;1977&lt;/Year&gt;&lt;RecNum&gt;103&lt;/RecNum&gt;&lt;DisplayText&gt;(24)&lt;/DisplayText&gt;&lt;record&gt;&lt;rec-number&gt;103&lt;/rec-number&gt;&lt;foreign-keys&gt;&lt;key app="EN" db-id="rzddz9xtze9xz3erwto5zafcd5w22rsasxfx" timestamp="1718444941"&gt;103&lt;/key&gt;&lt;/foreign-keys&gt;&lt;ref-type name="Book"&gt;6&lt;/ref-type&gt;&lt;contributors&gt;&lt;authors&gt;&lt;author&gt;Cochran, William Gemmell&lt;/author&gt;&lt;/authors&gt;&lt;/contributors&gt;&lt;titles&gt;&lt;title&gt;Sampling techniques&lt;/title&gt;&lt;/titles&gt;&lt;dates&gt;&lt;year&gt;1977&lt;/year&gt;&lt;/dates&gt;&lt;publisher&gt;john wiley &amp;amp; sons&lt;/publisher&gt;&lt;isbn&gt;8126515244&lt;/isbn&gt;&lt;urls&gt;&lt;/urls&gt;&lt;/record&gt;&lt;/Cite&gt;&lt;/EndNote&gt;</w:instrText>
      </w:r>
      <w:r w:rsidR="00657AE6">
        <w:fldChar w:fldCharType="separate"/>
      </w:r>
      <w:r w:rsidR="004221BE">
        <w:rPr>
          <w:noProof/>
        </w:rPr>
        <w:t>(24)</w:t>
      </w:r>
      <w:r w:rsidR="00657AE6">
        <w:fldChar w:fldCharType="end"/>
      </w:r>
      <w:r w:rsidRPr="00FC75AF">
        <w:t xml:space="preserve">. Participants included individuals aged 18 and older, encompassing working professionals, students, and retirees, to reflect the diverse experiences with online terms and conditions. Such diversity aligns with recommendations for ensuring inclusivity in usability studies </w:t>
      </w:r>
      <w:r w:rsidR="00657AE6">
        <w:fldChar w:fldCharType="begin"/>
      </w:r>
      <w:r w:rsidR="004221BE">
        <w:instrText xml:space="preserve"> ADDIN EN.CITE &lt;EndNote&gt;&lt;Cite&gt;&lt;Author&gt;Dumas&lt;/Author&gt;&lt;Year&gt;1993&lt;/Year&gt;&lt;RecNum&gt;123&lt;/RecNum&gt;&lt;DisplayText&gt;(25)&lt;/DisplayText&gt;&lt;record&gt;&lt;rec-number&gt;123&lt;/rec-number&gt;&lt;foreign-keys&gt;&lt;key app="EN" db-id="rzddz9xtze9xz3erwto5zafcd5w22rsasxfx" timestamp="1722464245"&gt;123&lt;/key&gt;&lt;/foreign-keys&gt;&lt;ref-type name="Book"&gt;6&lt;/ref-type&gt;&lt;contributors&gt;&lt;authors&gt;&lt;author&gt;Dumas, Joseph F&lt;/author&gt;&lt;author&gt;Redish, Janice C&lt;/author&gt;&lt;/authors&gt;&lt;/contributors&gt;&lt;titles&gt;&lt;title&gt;A practical guide to usability testing&lt;/title&gt;&lt;/titles&gt;&lt;dates&gt;&lt;year&gt;1993&lt;/year&gt;&lt;/dates&gt;&lt;publisher&gt;Greenwood Publishing Group Inc.&lt;/publisher&gt;&lt;isbn&gt;089391990X&lt;/isbn&gt;&lt;urls&gt;&lt;/urls&gt;&lt;/record&gt;&lt;/Cite&gt;&lt;/EndNote&gt;</w:instrText>
      </w:r>
      <w:r w:rsidR="00657AE6">
        <w:fldChar w:fldCharType="separate"/>
      </w:r>
      <w:r w:rsidR="004221BE">
        <w:rPr>
          <w:noProof/>
        </w:rPr>
        <w:t>(25)</w:t>
      </w:r>
      <w:r w:rsidR="00657AE6">
        <w:fldChar w:fldCharType="end"/>
      </w:r>
      <w:r w:rsidRPr="00FC75AF">
        <w:t>.</w:t>
      </w:r>
    </w:p>
    <w:p w14:paraId="2645B7C1" w14:textId="77777777" w:rsidR="00FC75AF" w:rsidRPr="00FC75AF" w:rsidRDefault="00FC75AF" w:rsidP="00FC75AF">
      <w:pPr>
        <w:jc w:val="both"/>
        <w:rPr>
          <w:b/>
          <w:bCs/>
        </w:rPr>
      </w:pPr>
      <w:r w:rsidRPr="00FC75AF">
        <w:rPr>
          <w:b/>
          <w:bCs/>
        </w:rPr>
        <w:t>Participant Recruitment and Sampling</w:t>
      </w:r>
    </w:p>
    <w:p w14:paraId="5BA73EDA" w14:textId="0C112583" w:rsidR="00FC75AF" w:rsidRPr="00FC75AF" w:rsidRDefault="00FC75AF" w:rsidP="00FC75AF">
      <w:pPr>
        <w:jc w:val="both"/>
      </w:pPr>
      <w:r w:rsidRPr="00FC75AF">
        <w:t xml:space="preserve">Participants were recruited using convenience sampling due to its efficiency and suitability for exploratory research </w:t>
      </w:r>
      <w:r w:rsidR="00806FC2">
        <w:fldChar w:fldCharType="begin"/>
      </w:r>
      <w:r w:rsidR="004221BE">
        <w:instrText xml:space="preserve"> ADDIN EN.CITE &lt;EndNote&gt;&lt;Cite&gt;&lt;Author&gt;Dillman&lt;/Author&gt;&lt;Year&gt;2014&lt;/Year&gt;&lt;RecNum&gt;104&lt;/RecNum&gt;&lt;DisplayText&gt;(26, 27)&lt;/DisplayText&gt;&lt;record&gt;&lt;rec-number&gt;104&lt;/rec-number&gt;&lt;foreign-keys&gt;&lt;key app="EN" db-id="rzddz9xtze9xz3erwto5zafcd5w22rsasxfx" timestamp="1718458318"&gt;104&lt;/key&gt;&lt;/foreign-keys&gt;&lt;ref-type name="Book"&gt;6&lt;/ref-type&gt;&lt;contributors&gt;&lt;authors&gt;&lt;author&gt;Dillman, Don A&lt;/author&gt;&lt;author&gt;Smyth, Jolene D&lt;/author&gt;&lt;author&gt;Christian, Leah Melani&lt;/author&gt;&lt;/authors&gt;&lt;/contributors&gt;&lt;titles&gt;&lt;title&gt;Internet, phone, mail, and mixed-mode surveys: The tailored design method&lt;/title&gt;&lt;/titles&gt;&lt;dates&gt;&lt;year&gt;2014&lt;/year&gt;&lt;/dates&gt;&lt;publisher&gt;John Wiley &amp;amp; Sons&lt;/publisher&gt;&lt;isbn&gt;1118456149&lt;/isbn&gt;&lt;urls&gt;&lt;/urls&gt;&lt;/record&gt;&lt;/Cite&gt;&lt;Cite&gt;&lt;Author&gt;Fowler Jr&lt;/Author&gt;&lt;Year&gt;2013&lt;/Year&gt;&lt;RecNum&gt;107&lt;/RecNum&gt;&lt;record&gt;&lt;rec-number&gt;107&lt;/rec-number&gt;&lt;foreign-keys&gt;&lt;key app="EN" db-id="rzddz9xtze9xz3erwto5zafcd5w22rsasxfx" timestamp="1718458318"&gt;107&lt;/key&gt;&lt;/foreign-keys&gt;&lt;ref-type name="Book"&gt;6&lt;/ref-type&gt;&lt;contributors&gt;&lt;authors&gt;&lt;author&gt;Fowler Jr, Floyd J&lt;/author&gt;&lt;/authors&gt;&lt;/contributors&gt;&lt;titles&gt;&lt;title&gt;Survey research methods&lt;/title&gt;&lt;/titles&gt;&lt;dates&gt;&lt;year&gt;2013&lt;/year&gt;&lt;/dates&gt;&lt;publisher&gt;Sage publications&lt;/publisher&gt;&lt;isbn&gt;1483312402&lt;/isbn&gt;&lt;urls&gt;&lt;/urls&gt;&lt;/record&gt;&lt;/Cite&gt;&lt;/EndNote&gt;</w:instrText>
      </w:r>
      <w:r w:rsidR="00806FC2">
        <w:fldChar w:fldCharType="separate"/>
      </w:r>
      <w:r w:rsidR="004221BE">
        <w:rPr>
          <w:noProof/>
        </w:rPr>
        <w:t>(26, 27)</w:t>
      </w:r>
      <w:r w:rsidR="00806FC2">
        <w:fldChar w:fldCharType="end"/>
      </w:r>
      <w:r w:rsidRPr="00FC75AF">
        <w:t xml:space="preserve">. Recruitment methods included online advertisements, local community postings, and referrals from initial participants. Eligibility criteria required participants to be 18 years or older, reside in Bournemouth or surrounding areas, and have prior experience using online platforms that require acceptance of ToS agreements. Exclusion criteria included individuals who did not use online platforms regularly or could not provide informed consent. A total of 425 participants completed the quantitative survey, while 20 individuals participated in usability testing of the ToSSimplify tool. The usability testing sample was deliberately selected to reflect diversity in age, educational background, and digital literacy levels, ensuring a comprehensive exploration of user experiences </w:t>
      </w:r>
      <w:r w:rsidR="00806FC2">
        <w:fldChar w:fldCharType="begin"/>
      </w:r>
      <w:r w:rsidR="004221BE">
        <w:instrText xml:space="preserve"> ADDIN EN.CITE &lt;EndNote&gt;&lt;Cite&gt;&lt;Author&gt;Mason&lt;/Author&gt;&lt;Year&gt;2017&lt;/Year&gt;&lt;RecNum&gt;118&lt;/RecNum&gt;&lt;DisplayText&gt;(28)&lt;/DisplayText&gt;&lt;record&gt;&lt;rec-number&gt;118&lt;/rec-number&gt;&lt;foreign-keys&gt;&lt;key app="EN" db-id="rzddz9xtze9xz3erwto5zafcd5w22rsasxfx" timestamp="1722380008"&gt;118&lt;/key&gt;&lt;/foreign-keys&gt;&lt;ref-type name="Journal Article"&gt;17&lt;/ref-type&gt;&lt;contributors&gt;&lt;authors&gt;&lt;author&gt;Mason, Jennifer&lt;/author&gt;&lt;/authors&gt;&lt;/contributors&gt;&lt;titles&gt;&lt;title&gt;Qualitative researching&lt;/title&gt;&lt;/titles&gt;&lt;dates&gt;&lt;year&gt;2017&lt;/year&gt;&lt;/dates&gt;&lt;urls&gt;&lt;/urls&gt;&lt;/record&gt;&lt;/Cite&gt;&lt;/EndNote&gt;</w:instrText>
      </w:r>
      <w:r w:rsidR="00806FC2">
        <w:fldChar w:fldCharType="separate"/>
      </w:r>
      <w:r w:rsidR="004221BE">
        <w:rPr>
          <w:noProof/>
        </w:rPr>
        <w:t>(28)</w:t>
      </w:r>
      <w:r w:rsidR="00806FC2">
        <w:fldChar w:fldCharType="end"/>
      </w:r>
      <w:r w:rsidRPr="00FC75AF">
        <w:t>.</w:t>
      </w:r>
    </w:p>
    <w:p w14:paraId="3A2325EF" w14:textId="77777777" w:rsidR="00FC75AF" w:rsidRPr="00FC75AF" w:rsidRDefault="00FC75AF" w:rsidP="00FC75AF">
      <w:pPr>
        <w:jc w:val="both"/>
        <w:rPr>
          <w:b/>
          <w:bCs/>
        </w:rPr>
      </w:pPr>
      <w:r w:rsidRPr="00FC75AF">
        <w:rPr>
          <w:b/>
          <w:bCs/>
        </w:rPr>
        <w:t>Data Collection Methods</w:t>
      </w:r>
    </w:p>
    <w:p w14:paraId="71731B83" w14:textId="77777777" w:rsidR="00FC75AF" w:rsidRPr="00FC75AF" w:rsidRDefault="00FC75AF" w:rsidP="00FC75AF">
      <w:pPr>
        <w:jc w:val="both"/>
      </w:pPr>
      <w:r w:rsidRPr="00FC75AF">
        <w:t>Data collection involved two distinct phases: a quantitative survey and qualitative usability testing, incorporating think-aloud protocols and post-interaction interviews.</w:t>
      </w:r>
    </w:p>
    <w:p w14:paraId="67F35AB0" w14:textId="261C5B35" w:rsidR="00FC75AF" w:rsidRPr="00FC75AF" w:rsidRDefault="00FC75AF" w:rsidP="00FC75AF">
      <w:pPr>
        <w:jc w:val="both"/>
      </w:pPr>
      <w:r w:rsidRPr="00FC75AF">
        <w:t xml:space="preserve">In the quantitative phase, participants completed a structured survey to gather data on their engagement with ToS agreements, the perceived importance of reading them, and barriers to doing so. The survey, administered via the JISC platform, ensured anonymity and included multiple-choice items, Likert-scale statements, and open-ended prompts to capture nuanced perspectives </w:t>
      </w:r>
      <w:r w:rsidR="005F5CDA">
        <w:fldChar w:fldCharType="begin"/>
      </w:r>
      <w:r w:rsidR="004221BE">
        <w:instrText xml:space="preserve"> ADDIN EN.CITE &lt;EndNote&gt;&lt;Cite&gt;&lt;Author&gt;Obar&lt;/Author&gt;&lt;Year&gt;2020&lt;/Year&gt;&lt;RecNum&gt;9&lt;/RecNum&gt;&lt;DisplayText&gt;(4, 7)&lt;/DisplayText&gt;&lt;record&gt;&lt;rec-number&gt;9&lt;/rec-number&gt;&lt;foreign-keys&gt;&lt;key app="EN" db-id="rzddz9xtze9xz3erwto5zafcd5w22rsasxfx" timestamp="1715605717"&gt;9&lt;/key&gt;&lt;/foreign-keys&gt;&lt;ref-type name="Journal Article"&gt;17&lt;/ref-type&gt;&lt;contributors&gt;&lt;authors&gt;&lt;author&gt;Obar, Jonathan A&lt;/author&gt;&lt;author&gt;Oeldorf-Hirsch, Anne&lt;/author&gt;&lt;/authors&gt;&lt;/contributors&gt;&lt;titles&gt;&lt;title&gt;The biggest lie on the internet: Ignoring the privacy policies and terms of service policies of social networking services&lt;/title&gt;&lt;secondary-title&gt;Information, Communication &amp;amp; Society&lt;/secondary-title&gt;&lt;/titles&gt;&lt;periodical&gt;&lt;full-title&gt;Information, Communication &amp;amp; Society&lt;/full-title&gt;&lt;/periodical&gt;&lt;pages&gt;128-147&lt;/pages&gt;&lt;volume&gt;23&lt;/volume&gt;&lt;number&gt;1&lt;/number&gt;&lt;dates&gt;&lt;year&gt;2020&lt;/year&gt;&lt;/dates&gt;&lt;isbn&gt;1369-118X&lt;/isbn&gt;&lt;urls&gt;&lt;/urls&gt;&lt;/record&gt;&lt;/Cite&gt;&lt;Cite&gt;&lt;Author&gt;Reidenberg&lt;/Author&gt;&lt;Year&gt;2015&lt;/Year&gt;&lt;RecNum&gt;1&lt;/RecNum&gt;&lt;record&gt;&lt;rec-number&gt;1&lt;/rec-number&gt;&lt;foreign-keys&gt;&lt;key app="EN" db-id="rzddz9xtze9xz3erwto5zafcd5w22rsasxfx" timestamp="1715598386"&gt;1&lt;/key&gt;&lt;/foreign-keys&gt;&lt;ref-type name="Journal Article"&gt;17&lt;/ref-type&gt;&lt;contributors&gt;&lt;authors&gt;&lt;author&gt;Reidenberg, Joel R&lt;/author&gt;&lt;author&gt;Breaux, Travis&lt;/author&gt;&lt;author&gt;Cranor, Lorrie Faith&lt;/author&gt;&lt;author&gt;French, Brian&lt;/author&gt;&lt;author&gt;Grannis, Amanda&lt;/author&gt;&lt;author&gt;Graves, James T&lt;/author&gt;&lt;author&gt;Liu, Fei&lt;/author&gt;&lt;author&gt;McDonald, Aleecia&lt;/author&gt;&lt;author&gt;Norton, Thomas B&lt;/author&gt;&lt;author&gt;Ramanath, Rohan&lt;/author&gt;&lt;/authors&gt;&lt;/contributors&gt;&lt;titles&gt;&lt;title&gt;Disagreeable privacy policies: Mismatches between meaning and users&amp;apos; understanding&lt;/title&gt;&lt;secondary-title&gt;Berkeley Tech. LJ&lt;/secondary-title&gt;&lt;/titles&gt;&lt;periodical&gt;&lt;full-title&gt;Berkeley Tech. LJ&lt;/full-title&gt;&lt;/periodical&gt;&lt;pages&gt;39&lt;/pages&gt;&lt;volume&gt;30&lt;/volume&gt;&lt;dates&gt;&lt;year&gt;2015&lt;/year&gt;&lt;/dates&gt;&lt;urls&gt;&lt;/urls&gt;&lt;/record&gt;&lt;/Cite&gt;&lt;/EndNote&gt;</w:instrText>
      </w:r>
      <w:r w:rsidR="005F5CDA">
        <w:fldChar w:fldCharType="separate"/>
      </w:r>
      <w:r w:rsidR="004221BE">
        <w:rPr>
          <w:noProof/>
        </w:rPr>
        <w:t>(4, 7)</w:t>
      </w:r>
      <w:r w:rsidR="005F5CDA">
        <w:fldChar w:fldCharType="end"/>
      </w:r>
      <w:r w:rsidRPr="00FC75AF">
        <w:t xml:space="preserve">. This phase </w:t>
      </w:r>
      <w:r>
        <w:t>was</w:t>
      </w:r>
      <w:r w:rsidRPr="00FC75AF">
        <w:t xml:space="preserve"> the foundation for identifying behavioural patterns and demographic trends associated with ToS engagement.</w:t>
      </w:r>
    </w:p>
    <w:p w14:paraId="7DEAF391" w14:textId="2FEDFC28" w:rsidR="00FC75AF" w:rsidRPr="00FC75AF" w:rsidRDefault="00FC75AF" w:rsidP="00FC75AF">
      <w:pPr>
        <w:jc w:val="both"/>
      </w:pPr>
      <w:r w:rsidRPr="00FC75AF">
        <w:t xml:space="preserve">In the qualitative phase, participants were invited to test the ToSSimplify prototype. During these sessions, participants were observed as they interacted with the tool to complete specific tasks, such as identifying key clauses within a ToS document, expanding summarised sections for more details, and providing feedback on the summaries. </w:t>
      </w:r>
      <w:r w:rsidR="003B469C">
        <w:t xml:space="preserve">During the interaction, think-aloud protocols encouraged participants to verbalise their thoughts, challenges, and observations </w:t>
      </w:r>
      <w:r w:rsidR="005F5CDA">
        <w:fldChar w:fldCharType="begin"/>
      </w:r>
      <w:r w:rsidR="004221BE">
        <w:instrText xml:space="preserve"> ADDIN EN.CITE &lt;EndNote&gt;&lt;Cite&gt;&lt;Author&gt;Lewis&lt;/Author&gt;&lt;Year&gt;1982&lt;/Year&gt;&lt;RecNum&gt;124&lt;/RecNum&gt;&lt;DisplayText&gt;(29)&lt;/DisplayText&gt;&lt;record&gt;&lt;rec-number&gt;124&lt;/rec-number&gt;&lt;foreign-keys&gt;&lt;key app="EN" db-id="rzddz9xtze9xz3erwto5zafcd5w22rsasxfx" timestamp="1722464307"&gt;124&lt;/key&gt;&lt;/foreign-keys&gt;&lt;ref-type name="Book"&gt;6&lt;/ref-type&gt;&lt;contributors&gt;&lt;authors&gt;&lt;author&gt;Lewis, Clayton&lt;/author&gt;&lt;/authors&gt;&lt;/contributors&gt;&lt;titles&gt;&lt;title&gt;Using the&amp;quot; thinking-aloud&amp;quot; method in cognitive interface design&lt;/title&gt;&lt;/titles&gt;&lt;dates&gt;&lt;year&gt;1982&lt;/year&gt;&lt;/dates&gt;&lt;publisher&gt;IBM TJ Watson Research Center Yorktown Heights, NY&lt;/publisher&gt;&lt;urls&gt;&lt;/urls&gt;&lt;/record&gt;&lt;/Cite&gt;&lt;/EndNote&gt;</w:instrText>
      </w:r>
      <w:r w:rsidR="005F5CDA">
        <w:fldChar w:fldCharType="separate"/>
      </w:r>
      <w:r w:rsidR="004221BE">
        <w:rPr>
          <w:noProof/>
        </w:rPr>
        <w:t>(29)</w:t>
      </w:r>
      <w:r w:rsidR="005F5CDA">
        <w:fldChar w:fldCharType="end"/>
      </w:r>
      <w:r w:rsidRPr="00FC75AF">
        <w:t xml:space="preserve">. Semi-structured interviews </w:t>
      </w:r>
      <w:r w:rsidR="003B469C">
        <w:t xml:space="preserve">were </w:t>
      </w:r>
      <w:r w:rsidRPr="00FC75AF">
        <w:t xml:space="preserve">followed to capture participants’ overall impressions of the tool, its perceived utility, and areas for improvement </w:t>
      </w:r>
      <w:r w:rsidR="00911CC8">
        <w:fldChar w:fldCharType="begin"/>
      </w:r>
      <w:r w:rsidR="004221BE">
        <w:instrText xml:space="preserve"> ADDIN EN.CITE &lt;EndNote&gt;&lt;Cite&gt;&lt;Author&gt;Creswell&lt;/Author&gt;&lt;Year&gt;2009&lt;/Year&gt;&lt;RecNum&gt;114&lt;/RecNum&gt;&lt;DisplayText&gt;(23)&lt;/DisplayText&gt;&lt;record&gt;&lt;rec-number&gt;114&lt;/rec-number&gt;&lt;foreign-keys&gt;&lt;key app="EN" db-id="rzddz9xtze9xz3erwto5zafcd5w22rsasxfx" timestamp="1718585202"&gt;114&lt;/key&gt;&lt;/foreign-keys&gt;&lt;ref-type name="Generic"&gt;13&lt;/ref-type&gt;&lt;contributors&gt;&lt;authors&gt;&lt;author&gt;Creswell, John W&lt;/author&gt;&lt;/authors&gt;&lt;/contributors&gt;&lt;titles&gt;&lt;title&gt;Mapping the field of mixed methods research&lt;/title&gt;&lt;/titles&gt;&lt;pages&gt;95-108&lt;/pages&gt;&lt;volume&gt;3&lt;/volume&gt;&lt;number&gt;2&lt;/number&gt;&lt;dates&gt;&lt;year&gt;2009&lt;/year&gt;&lt;/dates&gt;&lt;publisher&gt;SAGE publications Sage CA: Los Angeles, CA&lt;/publisher&gt;&lt;isbn&gt;1558-6898&lt;/isbn&gt;&lt;urls&gt;&lt;/urls&gt;&lt;/record&gt;&lt;/Cite&gt;&lt;/EndNote&gt;</w:instrText>
      </w:r>
      <w:r w:rsidR="00911CC8">
        <w:fldChar w:fldCharType="separate"/>
      </w:r>
      <w:r w:rsidR="004221BE">
        <w:rPr>
          <w:noProof/>
        </w:rPr>
        <w:t>(23)</w:t>
      </w:r>
      <w:r w:rsidR="00911CC8">
        <w:fldChar w:fldCharType="end"/>
      </w:r>
      <w:r w:rsidRPr="00FC75AF">
        <w:t xml:space="preserve">. Audio recordings and detailed notes ensured the richness of qualitative data, aligning with best practices for usability evaluations </w:t>
      </w:r>
      <w:r w:rsidR="00911CC8">
        <w:fldChar w:fldCharType="begin"/>
      </w:r>
      <w:r w:rsidR="004221BE">
        <w:instrText xml:space="preserve"> ADDIN EN.CITE &lt;EndNote&gt;&lt;Cite&gt;&lt;Author&gt;Nielsen&lt;/Author&gt;&lt;Year&gt;1994&lt;/Year&gt;&lt;RecNum&gt;120&lt;/RecNum&gt;&lt;DisplayText&gt;(30)&lt;/DisplayText&gt;&lt;record&gt;&lt;rec-number&gt;120&lt;/rec-number&gt;&lt;foreign-keys&gt;&lt;key app="EN" db-id="rzddz9xtze9xz3erwto5zafcd5w22rsasxfx" timestamp="1722464149"&gt;120&lt;/key&gt;&lt;/foreign-keys&gt;&lt;ref-type name="Book Section"&gt;5&lt;/ref-type&gt;&lt;contributors&gt;&lt;authors&gt;&lt;author&gt;Nielsen, Jakob&lt;/author&gt;&lt;/authors&gt;&lt;/contributors&gt;&lt;titles&gt;&lt;title&gt;Heuristic evaluation&lt;/title&gt;&lt;secondary-title&gt;Usability inspection methods&lt;/secondary-title&gt;&lt;/titles&gt;&lt;pages&gt;25-62&lt;/pages&gt;&lt;dates&gt;&lt;year&gt;1994&lt;/year&gt;&lt;/dates&gt;&lt;urls&gt;&lt;/urls&gt;&lt;/record&gt;&lt;/Cite&gt;&lt;/EndNote&gt;</w:instrText>
      </w:r>
      <w:r w:rsidR="00911CC8">
        <w:fldChar w:fldCharType="separate"/>
      </w:r>
      <w:r w:rsidR="004221BE">
        <w:rPr>
          <w:noProof/>
        </w:rPr>
        <w:t>(30)</w:t>
      </w:r>
      <w:r w:rsidR="00911CC8">
        <w:fldChar w:fldCharType="end"/>
      </w:r>
      <w:r w:rsidRPr="00FC75AF">
        <w:t>.</w:t>
      </w:r>
    </w:p>
    <w:p w14:paraId="398EF584" w14:textId="77777777" w:rsidR="00FC75AF" w:rsidRPr="00FC75AF" w:rsidRDefault="00FC75AF" w:rsidP="00FC75AF">
      <w:pPr>
        <w:jc w:val="both"/>
        <w:rPr>
          <w:b/>
          <w:bCs/>
        </w:rPr>
      </w:pPr>
      <w:r w:rsidRPr="00FC75AF">
        <w:rPr>
          <w:b/>
          <w:bCs/>
        </w:rPr>
        <w:t>Development of ToSSimplify</w:t>
      </w:r>
    </w:p>
    <w:p w14:paraId="3C6D9BE6" w14:textId="7714DE0A" w:rsidR="00FC75AF" w:rsidRPr="00FC75AF" w:rsidRDefault="00FC75AF" w:rsidP="00FC75AF">
      <w:pPr>
        <w:jc w:val="both"/>
      </w:pPr>
      <w:r w:rsidRPr="00FC75AF">
        <w:t xml:space="preserve">The ToSSimplify tool was developed as an AI-powered browser extension capable of detecting and </w:t>
      </w:r>
      <w:r w:rsidR="003B469C">
        <w:t>summarising</w:t>
      </w:r>
      <w:r w:rsidRPr="00FC75AF">
        <w:t xml:space="preserve"> ToS agreements on web pages. Using natural language processing (NLP) algorithms, the tool simplified complex legal texts, identified key clauses, and presented them in an interactive, user-friendly format. The development process followed an agile methodology, which supports iterative design and continuous user feedback to refine functionality </w:t>
      </w:r>
      <w:r w:rsidR="00911CC8">
        <w:fldChar w:fldCharType="begin"/>
      </w:r>
      <w:r w:rsidR="004221BE">
        <w:instrText xml:space="preserve"> ADDIN EN.CITE &lt;EndNote&gt;&lt;Cite&gt;&lt;Author&gt;Rasnacis&lt;/Author&gt;&lt;Year&gt;2017&lt;/Year&gt;&lt;RecNum&gt;135&lt;/RecNum&gt;&lt;DisplayText&gt;(31)&lt;/DisplayText&gt;&lt;record&gt;&lt;rec-number&gt;135&lt;/rec-number&gt;&lt;foreign-keys&gt;&lt;key app="EN" db-id="rzddz9xtze9xz3erwto5zafcd5w22rsasxfx" timestamp="1723423299"&gt;135&lt;/key&gt;&lt;/foreign-keys&gt;&lt;ref-type name="Journal Article"&gt;17&lt;/ref-type&gt;&lt;contributors&gt;&lt;authors&gt;&lt;author&gt;Rasnacis, Arturs&lt;/author&gt;&lt;author&gt;Berzisa, Solvita&lt;/author&gt;&lt;/authors&gt;&lt;/contributors&gt;&lt;titles&gt;&lt;title&gt;Method for adaptation and implementation of agile project management methodology&lt;/title&gt;&lt;secondary-title&gt;Procedia Computer Science&lt;/secondary-title&gt;&lt;/titles&gt;&lt;periodical&gt;&lt;full-title&gt;Procedia Computer Science&lt;/full-title&gt;&lt;/periodical&gt;&lt;pages&gt;43-50&lt;/pages&gt;&lt;volume&gt;104&lt;/volume&gt;&lt;dates&gt;&lt;year&gt;2017&lt;/year&gt;&lt;/dates&gt;&lt;isbn&gt;1877-0509&lt;/isbn&gt;&lt;urls&gt;&lt;/urls&gt;&lt;/record&gt;&lt;/Cite&gt;&lt;/EndNote&gt;</w:instrText>
      </w:r>
      <w:r w:rsidR="00911CC8">
        <w:fldChar w:fldCharType="separate"/>
      </w:r>
      <w:r w:rsidR="004221BE">
        <w:rPr>
          <w:noProof/>
        </w:rPr>
        <w:t>(31)</w:t>
      </w:r>
      <w:r w:rsidR="00911CC8">
        <w:fldChar w:fldCharType="end"/>
      </w:r>
      <w:r w:rsidRPr="00FC75AF">
        <w:t xml:space="preserve">. Features such as collapsible sections for detailed exploration and tooltips addressing common user pain points were integrated based on findings from the quantitative survey </w:t>
      </w:r>
      <w:r w:rsidR="00911CC8">
        <w:fldChar w:fldCharType="begin"/>
      </w:r>
      <w:r w:rsidR="004221BE">
        <w:instrText xml:space="preserve"> ADDIN EN.CITE &lt;EndNote&gt;&lt;Cite&gt;&lt;Author&gt;Johnson&lt;/Author&gt;&lt;Year&gt;2020&lt;/Year&gt;&lt;RecNum&gt;131&lt;/RecNum&gt;&lt;DisplayText&gt;(32)&lt;/DisplayText&gt;&lt;record&gt;&lt;rec-number&gt;131&lt;/rec-number&gt;&lt;foreign-keys&gt;&lt;key app="EN" db-id="rzddz9xtze9xz3erwto5zafcd5w22rsasxfx" timestamp="1723404956"&gt;131&lt;/key&gt;&lt;/foreign-keys&gt;&lt;ref-type name="Book"&gt;6&lt;/ref-type&gt;&lt;contributors&gt;&lt;authors&gt;&lt;author&gt;Johnson, Jeff&lt;/author&gt;&lt;/authors&gt;&lt;/contributors&gt;&lt;titles&gt;&lt;title&gt;Designing with the mind in mind: simple guide to understanding user interface design guidelines&lt;/title&gt;&lt;/titles&gt;&lt;dates&gt;&lt;year&gt;2020&lt;/year&gt;&lt;/dates&gt;&lt;publisher&gt;Morgan Kaufmann&lt;/publisher&gt;&lt;isbn&gt;0128182032&lt;/isbn&gt;&lt;urls&gt;&lt;/urls&gt;&lt;/record&gt;&lt;/Cite&gt;&lt;/EndNote&gt;</w:instrText>
      </w:r>
      <w:r w:rsidR="00911CC8">
        <w:fldChar w:fldCharType="separate"/>
      </w:r>
      <w:r w:rsidR="004221BE">
        <w:rPr>
          <w:noProof/>
        </w:rPr>
        <w:t>(32)</w:t>
      </w:r>
      <w:r w:rsidR="00911CC8">
        <w:fldChar w:fldCharType="end"/>
      </w:r>
      <w:r w:rsidRPr="00FC75AF">
        <w:t>.</w:t>
      </w:r>
    </w:p>
    <w:p w14:paraId="5402A351" w14:textId="77777777" w:rsidR="00FC75AF" w:rsidRPr="00FC75AF" w:rsidRDefault="00FC75AF" w:rsidP="00FC75AF">
      <w:pPr>
        <w:jc w:val="both"/>
        <w:rPr>
          <w:b/>
          <w:bCs/>
        </w:rPr>
      </w:pPr>
      <w:r w:rsidRPr="00FC75AF">
        <w:rPr>
          <w:b/>
          <w:bCs/>
        </w:rPr>
        <w:t>Data Analysis</w:t>
      </w:r>
    </w:p>
    <w:p w14:paraId="04402F53" w14:textId="52DB733E" w:rsidR="00FC75AF" w:rsidRPr="00FC75AF" w:rsidRDefault="00FC75AF" w:rsidP="00FC75AF">
      <w:pPr>
        <w:jc w:val="both"/>
      </w:pPr>
      <w:r w:rsidRPr="00FC75AF">
        <w:t xml:space="preserve">Quantitative survey data were exported from the JISC platform into Microsoft Excel for initial cleaning and </w:t>
      </w:r>
      <w:r w:rsidR="003B469C">
        <w:t>analysed</w:t>
      </w:r>
      <w:r w:rsidRPr="00FC75AF">
        <w:t xml:space="preserve"> using STATA/SE 18.0. Descriptive statistics </w:t>
      </w:r>
      <w:r w:rsidR="003B469C">
        <w:t>summarised</w:t>
      </w:r>
      <w:r w:rsidRPr="00FC75AF">
        <w:t xml:space="preserve"> participant demographics and engagement with ToS agreements. </w:t>
      </w:r>
      <w:r w:rsidR="003B469C">
        <w:t>The inferential</w:t>
      </w:r>
      <w:r w:rsidRPr="00FC75AF">
        <w:t xml:space="preserve"> analysis employed multinomial logistic regression to identify factors significantly associated with ToS engagement, including age, education, and perceived importance of reading ToS. Statistical significance was set at p &lt; 0.05.</w:t>
      </w:r>
    </w:p>
    <w:p w14:paraId="2D642EE9" w14:textId="3E111CC1" w:rsidR="00FC75AF" w:rsidRPr="00FC75AF" w:rsidRDefault="00FC75AF" w:rsidP="00FC75AF">
      <w:pPr>
        <w:jc w:val="both"/>
      </w:pPr>
      <w:r w:rsidRPr="00FC75AF">
        <w:t xml:space="preserve">Qualitative data from usability testing and interviews were </w:t>
      </w:r>
      <w:r w:rsidR="003B469C">
        <w:t>analysed</w:t>
      </w:r>
      <w:r w:rsidRPr="00FC75AF">
        <w:t xml:space="preserve"> using thematic analysis. Audio recordings were transcribed verbatim, and transcripts were reviewed to identify recurring themes and patterns </w:t>
      </w:r>
      <w:r w:rsidR="009E41BF">
        <w:fldChar w:fldCharType="begin"/>
      </w:r>
      <w:r w:rsidR="004221BE">
        <w:instrText xml:space="preserve"> ADDIN EN.CITE &lt;EndNote&gt;&lt;Cite&gt;&lt;Author&gt;Denzin&lt;/Author&gt;&lt;Year&gt;2011&lt;/Year&gt;&lt;RecNum&gt;113&lt;/RecNum&gt;&lt;DisplayText&gt;(33)&lt;/DisplayText&gt;&lt;record&gt;&lt;rec-number&gt;113&lt;/rec-number&gt;&lt;foreign-keys&gt;&lt;key app="EN" db-id="rzddz9xtze9xz3erwto5zafcd5w22rsasxfx" timestamp="1718585092"&gt;113&lt;/key&gt;&lt;/foreign-keys&gt;&lt;ref-type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9E41BF">
        <w:fldChar w:fldCharType="separate"/>
      </w:r>
      <w:r w:rsidR="004221BE">
        <w:rPr>
          <w:noProof/>
        </w:rPr>
        <w:t>(33)</w:t>
      </w:r>
      <w:r w:rsidR="009E41BF">
        <w:fldChar w:fldCharType="end"/>
      </w:r>
      <w:r w:rsidRPr="00FC75AF">
        <w:t xml:space="preserve">. A coding framework was developed, guided by the study objectives and emergent insights from the data. NVivo 12 software facilitated the </w:t>
      </w:r>
      <w:r w:rsidR="003B469C">
        <w:t>organisation</w:t>
      </w:r>
      <w:r w:rsidRPr="00FC75AF">
        <w:t xml:space="preserve"> and analysis of qualitative data, enabling a systematic exploration of user experiences with ToSSimplify. Metrics such as task completion rates, average time per task, and user satisfaction scores complemented the thematic findings </w:t>
      </w:r>
      <w:r w:rsidR="004B04DA">
        <w:fldChar w:fldCharType="begin"/>
      </w:r>
      <w:r w:rsidR="004221BE">
        <w:instrText xml:space="preserve"> ADDIN EN.CITE &lt;EndNote&gt;&lt;Cite&gt;&lt;Author&gt;Dumas&lt;/Author&gt;&lt;Year&gt;1993&lt;/Year&gt;&lt;RecNum&gt;123&lt;/RecNum&gt;&lt;DisplayText&gt;(25)&lt;/DisplayText&gt;&lt;record&gt;&lt;rec-number&gt;123&lt;/rec-number&gt;&lt;foreign-keys&gt;&lt;key app="EN" db-id="rzddz9xtze9xz3erwto5zafcd5w22rsasxfx" timestamp="1722464245"&gt;123&lt;/key&gt;&lt;/foreign-keys&gt;&lt;ref-type name="Book"&gt;6&lt;/ref-type&gt;&lt;contributors&gt;&lt;authors&gt;&lt;author&gt;Dumas, Joseph F&lt;/author&gt;&lt;author&gt;Redish, Janice C&lt;/author&gt;&lt;/authors&gt;&lt;/contributors&gt;&lt;titles&gt;&lt;title&gt;A practical guide to usability testing&lt;/title&gt;&lt;/titles&gt;&lt;dates&gt;&lt;year&gt;1993&lt;/year&gt;&lt;/dates&gt;&lt;publisher&gt;Greenwood Publishing Group Inc.&lt;/publisher&gt;&lt;isbn&gt;089391990X&lt;/isbn&gt;&lt;urls&gt;&lt;/urls&gt;&lt;/record&gt;&lt;/Cite&gt;&lt;/EndNote&gt;</w:instrText>
      </w:r>
      <w:r w:rsidR="004B04DA">
        <w:fldChar w:fldCharType="separate"/>
      </w:r>
      <w:r w:rsidR="004221BE">
        <w:rPr>
          <w:noProof/>
        </w:rPr>
        <w:t>(25)</w:t>
      </w:r>
      <w:r w:rsidR="004B04DA">
        <w:fldChar w:fldCharType="end"/>
      </w:r>
      <w:r w:rsidRPr="00FC75AF">
        <w:t>.</w:t>
      </w:r>
    </w:p>
    <w:p w14:paraId="77687D7A" w14:textId="77777777" w:rsidR="00FC75AF" w:rsidRPr="00FC75AF" w:rsidRDefault="00FC75AF" w:rsidP="00FC75AF">
      <w:pPr>
        <w:jc w:val="both"/>
        <w:rPr>
          <w:b/>
          <w:bCs/>
        </w:rPr>
      </w:pPr>
      <w:r w:rsidRPr="00FC75AF">
        <w:rPr>
          <w:b/>
          <w:bCs/>
        </w:rPr>
        <w:t>Ethical Considerations</w:t>
      </w:r>
    </w:p>
    <w:p w14:paraId="7EA2B38B" w14:textId="7FE2CBF6" w:rsidR="00FC75AF" w:rsidRPr="00FC75AF" w:rsidRDefault="00FC75AF" w:rsidP="00FC75AF">
      <w:pPr>
        <w:jc w:val="both"/>
      </w:pPr>
      <w:r w:rsidRPr="00FC75AF">
        <w:t xml:space="preserve">Ethical approval for this study was obtained from Bournemouth University’s ethics committee (Approval ID: 58727). Participants received detailed information sheets outlining the study’s objectives, methods, and their rights, including the right to withdraw without penalty. Informed consent was obtained before participation; survey participants completed online consent forms, and usability testing participants signed physical consent documents. Data were </w:t>
      </w:r>
      <w:r w:rsidR="003B469C">
        <w:t>anonymised</w:t>
      </w:r>
      <w:r w:rsidRPr="00FC75AF">
        <w:t xml:space="preserve"> and securely stored to protect privacy. Audio recordings from usability sessions were deleted post-transcription to maintain confidentiality, adhering to ethical guidelines for research integrity.</w:t>
      </w:r>
    </w:p>
    <w:p w14:paraId="3EA431A5" w14:textId="28924936" w:rsidR="00F4297C" w:rsidRPr="00F4297C" w:rsidRDefault="00F4297C" w:rsidP="003A21CD">
      <w:pPr>
        <w:pStyle w:val="Heading1"/>
      </w:pPr>
      <w:r w:rsidRPr="00F4297C">
        <w:t>Results</w:t>
      </w:r>
    </w:p>
    <w:p w14:paraId="766FA6BF" w14:textId="77777777" w:rsidR="00E95950" w:rsidRPr="00E95950" w:rsidRDefault="00E95950" w:rsidP="00E95950">
      <w:pPr>
        <w:jc w:val="both"/>
        <w:rPr>
          <w:b/>
          <w:bCs/>
        </w:rPr>
      </w:pPr>
      <w:r w:rsidRPr="00E95950">
        <w:rPr>
          <w:b/>
          <w:bCs/>
        </w:rPr>
        <w:t>Participant Characteristics</w:t>
      </w:r>
      <w:r>
        <w:rPr>
          <w:b/>
        </w:rPr>
        <w:br/>
        <w:t>Table 1: Participant Demographics</w:t>
        <w:br/>
      </w:r>
      <w:r>
        <w:t>Table D.1.1: Sociodemographic Characteristics</w:t>
        <w:br/>
        <w:t>Age: 29.9 ± 6.5 years (predominantly 18–37).</w:t>
        <w:br/>
        <w:t>Education: Postgraduates 68.9%.</w:t>
        <w:br/>
        <w:t>Gender: Male 51.8%, Female 48.2%.</w:t>
        <w:br/>
      </w:r>
    </w:p>
    <w:p w14:paraId="345CDCCE" w14:textId="0F0E6646" w:rsidR="00E95950" w:rsidRPr="00E95950" w:rsidRDefault="00E95950" w:rsidP="00E95950">
      <w:pPr>
        <w:jc w:val="both"/>
      </w:pPr>
      <w:r w:rsidRPr="00E95950">
        <w:t>A total of 425 participants completed the quantitative survey, while 20 participants were involved in the usability testing phase of the study. The survey respondents represented a diverse demographic range, with 48% identifying as male and 52% female. The majority of participants were aged between 2</w:t>
      </w:r>
      <w:r w:rsidR="00A941AA">
        <w:t>8</w:t>
      </w:r>
      <w:r w:rsidRPr="00E95950">
        <w:t xml:space="preserve"> and </w:t>
      </w:r>
      <w:r w:rsidR="00162A30">
        <w:t>37</w:t>
      </w:r>
      <w:r w:rsidRPr="00E95950">
        <w:t xml:space="preserve"> years (</w:t>
      </w:r>
      <w:r w:rsidR="00162A30">
        <w:t>48</w:t>
      </w:r>
      <w:r w:rsidRPr="00E95950">
        <w:t>%), with the remaining distributed across younger (18–2</w:t>
      </w:r>
      <w:r w:rsidR="00162A30">
        <w:t>7</w:t>
      </w:r>
      <w:r w:rsidRPr="00E95950">
        <w:t xml:space="preserve"> years, </w:t>
      </w:r>
      <w:r w:rsidR="00162A30">
        <w:t>38</w:t>
      </w:r>
      <w:r w:rsidRPr="00E95950">
        <w:t>%) and older age groups (</w:t>
      </w:r>
      <w:r w:rsidR="00162A30">
        <w:t>38</w:t>
      </w:r>
      <w:r w:rsidRPr="00E95950">
        <w:t xml:space="preserve"> years and above, </w:t>
      </w:r>
      <w:r w:rsidR="00162A30">
        <w:t>14</w:t>
      </w:r>
      <w:r w:rsidRPr="00E95950">
        <w:t xml:space="preserve">%). Participants had varying levels of education, with </w:t>
      </w:r>
      <w:r w:rsidR="008F0551">
        <w:t>93</w:t>
      </w:r>
      <w:r w:rsidRPr="00E95950">
        <w:t xml:space="preserve">% holding at least a university degree. These characteristics are </w:t>
      </w:r>
      <w:r>
        <w:t>summarised</w:t>
      </w:r>
      <w:r w:rsidRPr="00E95950">
        <w:t xml:space="preserve"> in </w:t>
      </w:r>
      <w:r w:rsidRPr="00C16E21">
        <w:t>Table 1</w:t>
      </w:r>
      <w:r w:rsidRPr="00E95950">
        <w:t>, providing a comprehensive overview of the study population.</w:t>
      </w:r>
    </w:p>
    <w:p w14:paraId="698FA892" w14:textId="77777777" w:rsidR="00E95950" w:rsidRPr="00E95950" w:rsidRDefault="00E95950" w:rsidP="00E95950">
      <w:pPr>
        <w:jc w:val="both"/>
        <w:rPr>
          <w:b/>
          <w:bCs/>
        </w:rPr>
      </w:pPr>
      <w:r w:rsidRPr="00E95950">
        <w:rPr>
          <w:b/>
          <w:bCs/>
        </w:rPr>
        <w:t>Table 1. Demographic Characteristics of Survey Participants</w:t>
      </w:r>
    </w:p>
    <w:tbl>
      <w:tblPr>
        <w:tblStyle w:val="TableGrid"/>
        <w:tblW w:w="9494" w:type="dxa"/>
        <w:tblLook w:val="04A0" w:firstRow="1" w:lastRow="0" w:firstColumn="1" w:lastColumn="0" w:noHBand="0" w:noVBand="1"/>
      </w:tblPr>
      <w:tblGrid>
        <w:gridCol w:w="5969"/>
        <w:gridCol w:w="3525"/>
      </w:tblGrid>
      <w:tr w:rsidR="00025A14" w:rsidRPr="00BD2003" w14:paraId="14674A27" w14:textId="77777777" w:rsidTr="007E03ED">
        <w:trPr>
          <w:trHeight w:val="274"/>
        </w:trPr>
        <w:tc>
          <w:tcPr>
            <w:tcW w:w="0" w:type="auto"/>
            <w:tcBorders>
              <w:top w:val="single" w:sz="0" w:space="0" w:color="000000"/>
              <w:left w:val="nil"/>
              <w:bottom w:val="nil"/>
              <w:right w:val="nil"/>
            </w:tcBorders>
          </w:tcPr>
          <w:p w14:paraId="3A57627D" w14:textId="77777777" w:rsidR="00025A14" w:rsidRPr="00BD2003" w:rsidRDefault="00025A14" w:rsidP="007E03ED">
            <w:pPr>
              <w:rPr>
                <w:rFonts w:ascii="Arial" w:hAnsi="Arial" w:cs="Arial"/>
                <w:b/>
                <w:bCs/>
                <w:color w:val="000000" w:themeColor="text1"/>
              </w:rPr>
            </w:pPr>
          </w:p>
        </w:tc>
        <w:tc>
          <w:tcPr>
            <w:tcW w:w="0" w:type="auto"/>
            <w:tcBorders>
              <w:top w:val="single" w:sz="0" w:space="0" w:color="000000"/>
              <w:left w:val="nil"/>
              <w:bottom w:val="nil"/>
              <w:right w:val="nil"/>
            </w:tcBorders>
            <w:vAlign w:val="bottom"/>
          </w:tcPr>
          <w:p w14:paraId="456A2702" w14:textId="77777777" w:rsidR="00025A14" w:rsidRPr="00BD2003" w:rsidRDefault="00025A14" w:rsidP="007E03ED">
            <w:pPr>
              <w:jc w:val="center"/>
              <w:rPr>
                <w:rFonts w:ascii="Arial" w:hAnsi="Arial" w:cs="Arial"/>
                <w:b/>
                <w:bCs/>
                <w:color w:val="000000" w:themeColor="text1"/>
              </w:rPr>
            </w:pPr>
            <w:r w:rsidRPr="00BD2003">
              <w:rPr>
                <w:rFonts w:ascii="Arial" w:hAnsi="Arial" w:cs="Arial"/>
                <w:b/>
                <w:bCs/>
                <w:color w:val="000000" w:themeColor="text1"/>
              </w:rPr>
              <w:t>Frequency (Percent)</w:t>
            </w:r>
          </w:p>
        </w:tc>
      </w:tr>
      <w:tr w:rsidR="00025A14" w:rsidRPr="00BD2003" w14:paraId="33EB175C" w14:textId="77777777" w:rsidTr="007E03ED">
        <w:trPr>
          <w:trHeight w:val="262"/>
        </w:trPr>
        <w:tc>
          <w:tcPr>
            <w:tcW w:w="0" w:type="auto"/>
            <w:tcBorders>
              <w:top w:val="nil"/>
              <w:left w:val="nil"/>
              <w:bottom w:val="single" w:sz="0" w:space="0" w:color="000000"/>
              <w:right w:val="nil"/>
            </w:tcBorders>
          </w:tcPr>
          <w:p w14:paraId="59946626"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Characteristics</w:t>
            </w:r>
          </w:p>
        </w:tc>
        <w:tc>
          <w:tcPr>
            <w:tcW w:w="0" w:type="auto"/>
            <w:tcBorders>
              <w:top w:val="nil"/>
              <w:left w:val="nil"/>
              <w:bottom w:val="single" w:sz="0" w:space="0" w:color="000000"/>
              <w:right w:val="nil"/>
            </w:tcBorders>
            <w:vAlign w:val="bottom"/>
          </w:tcPr>
          <w:p w14:paraId="2D1FB18C" w14:textId="77777777" w:rsidR="00025A14" w:rsidRPr="00BD2003" w:rsidRDefault="00025A14" w:rsidP="007E03ED">
            <w:pPr>
              <w:jc w:val="center"/>
              <w:rPr>
                <w:rFonts w:ascii="Arial" w:hAnsi="Arial" w:cs="Arial"/>
                <w:b/>
                <w:bCs/>
                <w:color w:val="000000" w:themeColor="text1"/>
              </w:rPr>
            </w:pPr>
            <w:r w:rsidRPr="00BD2003">
              <w:rPr>
                <w:rFonts w:ascii="Arial" w:hAnsi="Arial" w:cs="Arial"/>
                <w:b/>
                <w:bCs/>
                <w:color w:val="000000" w:themeColor="text1"/>
              </w:rPr>
              <w:t>(N=425)</w:t>
            </w:r>
          </w:p>
        </w:tc>
      </w:tr>
      <w:tr w:rsidR="00025A14" w:rsidRPr="00BD2003" w14:paraId="6F7E801D" w14:textId="77777777" w:rsidTr="007E03ED">
        <w:trPr>
          <w:trHeight w:val="274"/>
        </w:trPr>
        <w:tc>
          <w:tcPr>
            <w:tcW w:w="0" w:type="auto"/>
            <w:tcBorders>
              <w:top w:val="single" w:sz="0" w:space="0" w:color="000000"/>
              <w:left w:val="nil"/>
              <w:bottom w:val="nil"/>
              <w:right w:val="nil"/>
            </w:tcBorders>
            <w:vAlign w:val="bottom"/>
          </w:tcPr>
          <w:p w14:paraId="5CEBF38B"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Age in years</w:t>
            </w:r>
          </w:p>
        </w:tc>
        <w:tc>
          <w:tcPr>
            <w:tcW w:w="0" w:type="auto"/>
            <w:tcBorders>
              <w:top w:val="single" w:sz="0" w:space="0" w:color="000000"/>
              <w:left w:val="nil"/>
              <w:bottom w:val="nil"/>
              <w:right w:val="nil"/>
            </w:tcBorders>
            <w:vAlign w:val="bottom"/>
          </w:tcPr>
          <w:p w14:paraId="62EB1481"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29.9 ± 6.5</w:t>
            </w:r>
          </w:p>
        </w:tc>
      </w:tr>
      <w:tr w:rsidR="00025A14" w:rsidRPr="00BD2003" w14:paraId="15FD0D49" w14:textId="77777777" w:rsidTr="007E03ED">
        <w:trPr>
          <w:trHeight w:val="262"/>
        </w:trPr>
        <w:tc>
          <w:tcPr>
            <w:tcW w:w="0" w:type="auto"/>
            <w:tcBorders>
              <w:top w:val="nil"/>
              <w:left w:val="nil"/>
              <w:bottom w:val="nil"/>
              <w:right w:val="nil"/>
            </w:tcBorders>
            <w:vAlign w:val="bottom"/>
          </w:tcPr>
          <w:p w14:paraId="6305BDE9"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Age in years (Categorical)</w:t>
            </w:r>
          </w:p>
        </w:tc>
        <w:tc>
          <w:tcPr>
            <w:tcW w:w="0" w:type="auto"/>
            <w:tcBorders>
              <w:top w:val="nil"/>
              <w:left w:val="nil"/>
              <w:bottom w:val="nil"/>
              <w:right w:val="nil"/>
            </w:tcBorders>
          </w:tcPr>
          <w:p w14:paraId="6E538AB4" w14:textId="77777777" w:rsidR="00025A14" w:rsidRPr="00BD2003" w:rsidRDefault="00025A14" w:rsidP="007E03ED">
            <w:pPr>
              <w:jc w:val="center"/>
              <w:rPr>
                <w:rFonts w:ascii="Arial" w:hAnsi="Arial" w:cs="Arial"/>
                <w:b/>
                <w:bCs/>
                <w:color w:val="000000" w:themeColor="text1"/>
              </w:rPr>
            </w:pPr>
          </w:p>
        </w:tc>
      </w:tr>
      <w:tr w:rsidR="00025A14" w:rsidRPr="00BD2003" w14:paraId="6A05AED7" w14:textId="77777777" w:rsidTr="007E03ED">
        <w:trPr>
          <w:trHeight w:val="262"/>
        </w:trPr>
        <w:tc>
          <w:tcPr>
            <w:tcW w:w="0" w:type="auto"/>
            <w:tcBorders>
              <w:top w:val="nil"/>
              <w:left w:val="nil"/>
              <w:bottom w:val="nil"/>
              <w:right w:val="nil"/>
            </w:tcBorders>
            <w:vAlign w:val="bottom"/>
          </w:tcPr>
          <w:p w14:paraId="27F36098"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18-27</w:t>
            </w:r>
          </w:p>
        </w:tc>
        <w:tc>
          <w:tcPr>
            <w:tcW w:w="0" w:type="auto"/>
            <w:tcBorders>
              <w:top w:val="nil"/>
              <w:left w:val="nil"/>
              <w:bottom w:val="nil"/>
              <w:right w:val="nil"/>
            </w:tcBorders>
            <w:vAlign w:val="bottom"/>
          </w:tcPr>
          <w:p w14:paraId="3ECD6E1A"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160 (37.6)</w:t>
            </w:r>
          </w:p>
        </w:tc>
      </w:tr>
      <w:tr w:rsidR="00025A14" w:rsidRPr="00BD2003" w14:paraId="1972DCAA" w14:textId="77777777" w:rsidTr="007E03ED">
        <w:trPr>
          <w:trHeight w:val="274"/>
        </w:trPr>
        <w:tc>
          <w:tcPr>
            <w:tcW w:w="0" w:type="auto"/>
            <w:tcBorders>
              <w:top w:val="nil"/>
              <w:left w:val="nil"/>
              <w:bottom w:val="nil"/>
              <w:right w:val="nil"/>
            </w:tcBorders>
            <w:vAlign w:val="bottom"/>
          </w:tcPr>
          <w:p w14:paraId="77114E4F"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28-37</w:t>
            </w:r>
          </w:p>
        </w:tc>
        <w:tc>
          <w:tcPr>
            <w:tcW w:w="0" w:type="auto"/>
            <w:tcBorders>
              <w:top w:val="nil"/>
              <w:left w:val="nil"/>
              <w:bottom w:val="nil"/>
              <w:right w:val="nil"/>
            </w:tcBorders>
            <w:vAlign w:val="bottom"/>
          </w:tcPr>
          <w:p w14:paraId="6DF63597"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205 (48.2)</w:t>
            </w:r>
          </w:p>
        </w:tc>
      </w:tr>
      <w:tr w:rsidR="00025A14" w:rsidRPr="00BD2003" w14:paraId="1D343930" w14:textId="77777777" w:rsidTr="007E03ED">
        <w:trPr>
          <w:trHeight w:val="262"/>
        </w:trPr>
        <w:tc>
          <w:tcPr>
            <w:tcW w:w="0" w:type="auto"/>
            <w:tcBorders>
              <w:top w:val="nil"/>
              <w:left w:val="nil"/>
              <w:bottom w:val="nil"/>
              <w:right w:val="nil"/>
            </w:tcBorders>
            <w:vAlign w:val="bottom"/>
          </w:tcPr>
          <w:p w14:paraId="66883481"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38-47</w:t>
            </w:r>
          </w:p>
        </w:tc>
        <w:tc>
          <w:tcPr>
            <w:tcW w:w="0" w:type="auto"/>
            <w:tcBorders>
              <w:top w:val="nil"/>
              <w:left w:val="nil"/>
              <w:bottom w:val="nil"/>
              <w:right w:val="nil"/>
            </w:tcBorders>
            <w:vAlign w:val="bottom"/>
          </w:tcPr>
          <w:p w14:paraId="12533566"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60 (14.1)</w:t>
            </w:r>
          </w:p>
        </w:tc>
      </w:tr>
      <w:tr w:rsidR="00025A14" w:rsidRPr="00BD2003" w14:paraId="10128393" w14:textId="77777777" w:rsidTr="007E03ED">
        <w:trPr>
          <w:trHeight w:val="262"/>
        </w:trPr>
        <w:tc>
          <w:tcPr>
            <w:tcW w:w="0" w:type="auto"/>
            <w:tcBorders>
              <w:top w:val="nil"/>
              <w:left w:val="nil"/>
              <w:bottom w:val="nil"/>
              <w:right w:val="nil"/>
            </w:tcBorders>
            <w:vAlign w:val="bottom"/>
          </w:tcPr>
          <w:p w14:paraId="7782A393"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Gender</w:t>
            </w:r>
          </w:p>
        </w:tc>
        <w:tc>
          <w:tcPr>
            <w:tcW w:w="0" w:type="auto"/>
            <w:tcBorders>
              <w:top w:val="nil"/>
              <w:left w:val="nil"/>
              <w:bottom w:val="nil"/>
              <w:right w:val="nil"/>
            </w:tcBorders>
          </w:tcPr>
          <w:p w14:paraId="69CA46FF" w14:textId="77777777" w:rsidR="00025A14" w:rsidRPr="00BD2003" w:rsidRDefault="00025A14" w:rsidP="007E03ED">
            <w:pPr>
              <w:jc w:val="center"/>
              <w:rPr>
                <w:rFonts w:ascii="Arial" w:hAnsi="Arial" w:cs="Arial"/>
                <w:b/>
                <w:bCs/>
                <w:color w:val="000000" w:themeColor="text1"/>
              </w:rPr>
            </w:pPr>
          </w:p>
        </w:tc>
      </w:tr>
      <w:tr w:rsidR="00025A14" w:rsidRPr="00BD2003" w14:paraId="702C51C5" w14:textId="77777777" w:rsidTr="007E03ED">
        <w:trPr>
          <w:trHeight w:val="274"/>
        </w:trPr>
        <w:tc>
          <w:tcPr>
            <w:tcW w:w="0" w:type="auto"/>
            <w:tcBorders>
              <w:top w:val="nil"/>
              <w:left w:val="nil"/>
              <w:bottom w:val="nil"/>
              <w:right w:val="nil"/>
            </w:tcBorders>
            <w:vAlign w:val="bottom"/>
          </w:tcPr>
          <w:p w14:paraId="314E5733"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Female</w:t>
            </w:r>
          </w:p>
        </w:tc>
        <w:tc>
          <w:tcPr>
            <w:tcW w:w="0" w:type="auto"/>
            <w:tcBorders>
              <w:top w:val="nil"/>
              <w:left w:val="nil"/>
              <w:bottom w:val="nil"/>
              <w:right w:val="nil"/>
            </w:tcBorders>
            <w:vAlign w:val="bottom"/>
          </w:tcPr>
          <w:p w14:paraId="25740D3B"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205 (48.2)</w:t>
            </w:r>
          </w:p>
        </w:tc>
      </w:tr>
      <w:tr w:rsidR="00025A14" w:rsidRPr="00BD2003" w14:paraId="634C6C9B" w14:textId="77777777" w:rsidTr="007E03ED">
        <w:trPr>
          <w:trHeight w:val="262"/>
        </w:trPr>
        <w:tc>
          <w:tcPr>
            <w:tcW w:w="0" w:type="auto"/>
            <w:tcBorders>
              <w:top w:val="nil"/>
              <w:left w:val="nil"/>
              <w:bottom w:val="nil"/>
              <w:right w:val="nil"/>
            </w:tcBorders>
            <w:vAlign w:val="bottom"/>
          </w:tcPr>
          <w:p w14:paraId="6F49DB63"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Male</w:t>
            </w:r>
          </w:p>
        </w:tc>
        <w:tc>
          <w:tcPr>
            <w:tcW w:w="0" w:type="auto"/>
            <w:tcBorders>
              <w:top w:val="nil"/>
              <w:left w:val="nil"/>
              <w:bottom w:val="nil"/>
              <w:right w:val="nil"/>
            </w:tcBorders>
            <w:vAlign w:val="bottom"/>
          </w:tcPr>
          <w:p w14:paraId="7F7269A9"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220 (51.8)</w:t>
            </w:r>
          </w:p>
        </w:tc>
      </w:tr>
      <w:tr w:rsidR="00025A14" w:rsidRPr="00BD2003" w14:paraId="75926809" w14:textId="77777777" w:rsidTr="007E03ED">
        <w:trPr>
          <w:trHeight w:val="274"/>
        </w:trPr>
        <w:tc>
          <w:tcPr>
            <w:tcW w:w="0" w:type="auto"/>
            <w:tcBorders>
              <w:top w:val="nil"/>
              <w:left w:val="nil"/>
              <w:bottom w:val="nil"/>
              <w:right w:val="nil"/>
            </w:tcBorders>
            <w:vAlign w:val="bottom"/>
          </w:tcPr>
          <w:p w14:paraId="05EF6C06"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Level of education</w:t>
            </w:r>
          </w:p>
        </w:tc>
        <w:tc>
          <w:tcPr>
            <w:tcW w:w="0" w:type="auto"/>
            <w:tcBorders>
              <w:top w:val="nil"/>
              <w:left w:val="nil"/>
              <w:bottom w:val="nil"/>
              <w:right w:val="nil"/>
            </w:tcBorders>
          </w:tcPr>
          <w:p w14:paraId="4D0FE35E" w14:textId="77777777" w:rsidR="00025A14" w:rsidRPr="00BD2003" w:rsidRDefault="00025A14" w:rsidP="007E03ED">
            <w:pPr>
              <w:jc w:val="center"/>
              <w:rPr>
                <w:rFonts w:ascii="Arial" w:hAnsi="Arial" w:cs="Arial"/>
                <w:b/>
                <w:bCs/>
                <w:color w:val="000000" w:themeColor="text1"/>
              </w:rPr>
            </w:pPr>
          </w:p>
        </w:tc>
      </w:tr>
      <w:tr w:rsidR="00025A14" w:rsidRPr="00BD2003" w14:paraId="6F324961" w14:textId="77777777" w:rsidTr="007E03ED">
        <w:trPr>
          <w:trHeight w:val="262"/>
        </w:trPr>
        <w:tc>
          <w:tcPr>
            <w:tcW w:w="0" w:type="auto"/>
            <w:tcBorders>
              <w:top w:val="nil"/>
              <w:left w:val="nil"/>
              <w:bottom w:val="nil"/>
              <w:right w:val="nil"/>
            </w:tcBorders>
            <w:vAlign w:val="bottom"/>
          </w:tcPr>
          <w:p w14:paraId="0CAE07C6"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College</w:t>
            </w:r>
          </w:p>
        </w:tc>
        <w:tc>
          <w:tcPr>
            <w:tcW w:w="0" w:type="auto"/>
            <w:tcBorders>
              <w:top w:val="nil"/>
              <w:left w:val="nil"/>
              <w:bottom w:val="nil"/>
              <w:right w:val="nil"/>
            </w:tcBorders>
            <w:vAlign w:val="bottom"/>
          </w:tcPr>
          <w:p w14:paraId="0B6CFCFE"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29 (6.8)</w:t>
            </w:r>
          </w:p>
        </w:tc>
      </w:tr>
      <w:tr w:rsidR="00025A14" w:rsidRPr="00BD2003" w14:paraId="7363090F" w14:textId="77777777" w:rsidTr="007E03ED">
        <w:trPr>
          <w:trHeight w:val="262"/>
        </w:trPr>
        <w:tc>
          <w:tcPr>
            <w:tcW w:w="0" w:type="auto"/>
            <w:tcBorders>
              <w:top w:val="nil"/>
              <w:left w:val="nil"/>
              <w:bottom w:val="nil"/>
              <w:right w:val="nil"/>
            </w:tcBorders>
            <w:vAlign w:val="bottom"/>
          </w:tcPr>
          <w:p w14:paraId="7735F569"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Undergraduate</w:t>
            </w:r>
          </w:p>
        </w:tc>
        <w:tc>
          <w:tcPr>
            <w:tcW w:w="0" w:type="auto"/>
            <w:tcBorders>
              <w:top w:val="nil"/>
              <w:left w:val="nil"/>
              <w:bottom w:val="nil"/>
              <w:right w:val="nil"/>
            </w:tcBorders>
            <w:vAlign w:val="bottom"/>
          </w:tcPr>
          <w:p w14:paraId="6C14C1FD"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103 (24.2)</w:t>
            </w:r>
          </w:p>
        </w:tc>
      </w:tr>
      <w:tr w:rsidR="00025A14" w:rsidRPr="00BD2003" w14:paraId="719B7632" w14:textId="77777777" w:rsidTr="007E03ED">
        <w:trPr>
          <w:trHeight w:val="274"/>
        </w:trPr>
        <w:tc>
          <w:tcPr>
            <w:tcW w:w="0" w:type="auto"/>
            <w:tcBorders>
              <w:top w:val="nil"/>
              <w:left w:val="nil"/>
              <w:bottom w:val="nil"/>
              <w:right w:val="nil"/>
            </w:tcBorders>
            <w:vAlign w:val="bottom"/>
          </w:tcPr>
          <w:p w14:paraId="395F71EC"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Postgraduate</w:t>
            </w:r>
          </w:p>
        </w:tc>
        <w:tc>
          <w:tcPr>
            <w:tcW w:w="0" w:type="auto"/>
            <w:tcBorders>
              <w:top w:val="nil"/>
              <w:left w:val="nil"/>
              <w:bottom w:val="nil"/>
              <w:right w:val="nil"/>
            </w:tcBorders>
            <w:vAlign w:val="bottom"/>
          </w:tcPr>
          <w:p w14:paraId="1DA22CC0"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293 (68.9)</w:t>
            </w:r>
          </w:p>
        </w:tc>
      </w:tr>
      <w:tr w:rsidR="00025A14" w:rsidRPr="00BD2003" w14:paraId="037CC852" w14:textId="77777777" w:rsidTr="007E03ED">
        <w:trPr>
          <w:trHeight w:val="262"/>
        </w:trPr>
        <w:tc>
          <w:tcPr>
            <w:tcW w:w="0" w:type="auto"/>
            <w:tcBorders>
              <w:top w:val="nil"/>
              <w:left w:val="nil"/>
              <w:bottom w:val="nil"/>
              <w:right w:val="nil"/>
            </w:tcBorders>
            <w:vAlign w:val="bottom"/>
          </w:tcPr>
          <w:p w14:paraId="7412620F"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Ethnic group</w:t>
            </w:r>
          </w:p>
        </w:tc>
        <w:tc>
          <w:tcPr>
            <w:tcW w:w="0" w:type="auto"/>
            <w:tcBorders>
              <w:top w:val="nil"/>
              <w:left w:val="nil"/>
              <w:bottom w:val="nil"/>
              <w:right w:val="nil"/>
            </w:tcBorders>
          </w:tcPr>
          <w:p w14:paraId="0048CA12" w14:textId="77777777" w:rsidR="00025A14" w:rsidRPr="00BD2003" w:rsidRDefault="00025A14" w:rsidP="007E03ED">
            <w:pPr>
              <w:jc w:val="center"/>
              <w:rPr>
                <w:rFonts w:ascii="Arial" w:hAnsi="Arial" w:cs="Arial"/>
                <w:b/>
                <w:bCs/>
                <w:color w:val="000000" w:themeColor="text1"/>
              </w:rPr>
            </w:pPr>
          </w:p>
        </w:tc>
      </w:tr>
      <w:tr w:rsidR="00025A14" w:rsidRPr="00BD2003" w14:paraId="7E84E1B6" w14:textId="77777777" w:rsidTr="007E03ED">
        <w:trPr>
          <w:trHeight w:val="262"/>
        </w:trPr>
        <w:tc>
          <w:tcPr>
            <w:tcW w:w="0" w:type="auto"/>
            <w:tcBorders>
              <w:top w:val="nil"/>
              <w:left w:val="nil"/>
              <w:bottom w:val="nil"/>
              <w:right w:val="nil"/>
            </w:tcBorders>
            <w:vAlign w:val="bottom"/>
          </w:tcPr>
          <w:p w14:paraId="651D929B"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White</w:t>
            </w:r>
          </w:p>
        </w:tc>
        <w:tc>
          <w:tcPr>
            <w:tcW w:w="0" w:type="auto"/>
            <w:tcBorders>
              <w:top w:val="nil"/>
              <w:left w:val="nil"/>
              <w:bottom w:val="nil"/>
              <w:right w:val="nil"/>
            </w:tcBorders>
            <w:vAlign w:val="bottom"/>
          </w:tcPr>
          <w:p w14:paraId="3A8E41F3"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172 (40.5)</w:t>
            </w:r>
          </w:p>
        </w:tc>
      </w:tr>
      <w:tr w:rsidR="00025A14" w:rsidRPr="00BD2003" w14:paraId="2CC7528D" w14:textId="77777777" w:rsidTr="007E03ED">
        <w:trPr>
          <w:trHeight w:val="274"/>
        </w:trPr>
        <w:tc>
          <w:tcPr>
            <w:tcW w:w="0" w:type="auto"/>
            <w:tcBorders>
              <w:top w:val="nil"/>
              <w:left w:val="nil"/>
              <w:bottom w:val="nil"/>
              <w:right w:val="nil"/>
            </w:tcBorders>
            <w:vAlign w:val="bottom"/>
          </w:tcPr>
          <w:p w14:paraId="4AD40C89"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Black/African/Caribbean/Black British</w:t>
            </w:r>
          </w:p>
        </w:tc>
        <w:tc>
          <w:tcPr>
            <w:tcW w:w="0" w:type="auto"/>
            <w:tcBorders>
              <w:top w:val="nil"/>
              <w:left w:val="nil"/>
              <w:bottom w:val="nil"/>
              <w:right w:val="nil"/>
            </w:tcBorders>
            <w:vAlign w:val="bottom"/>
          </w:tcPr>
          <w:p w14:paraId="43F1C2B4"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92 (21.6)</w:t>
            </w:r>
          </w:p>
        </w:tc>
      </w:tr>
      <w:tr w:rsidR="00025A14" w:rsidRPr="00BD2003" w14:paraId="40331426" w14:textId="77777777" w:rsidTr="007E03ED">
        <w:trPr>
          <w:trHeight w:val="262"/>
        </w:trPr>
        <w:tc>
          <w:tcPr>
            <w:tcW w:w="0" w:type="auto"/>
            <w:tcBorders>
              <w:top w:val="nil"/>
              <w:left w:val="nil"/>
              <w:bottom w:val="nil"/>
              <w:right w:val="nil"/>
            </w:tcBorders>
            <w:vAlign w:val="bottom"/>
          </w:tcPr>
          <w:p w14:paraId="75B6B8EC"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Asian/Asian British</w:t>
            </w:r>
          </w:p>
        </w:tc>
        <w:tc>
          <w:tcPr>
            <w:tcW w:w="0" w:type="auto"/>
            <w:tcBorders>
              <w:top w:val="nil"/>
              <w:left w:val="nil"/>
              <w:bottom w:val="nil"/>
              <w:right w:val="nil"/>
            </w:tcBorders>
            <w:vAlign w:val="bottom"/>
          </w:tcPr>
          <w:p w14:paraId="7DE11D6F"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145 (34.1)</w:t>
            </w:r>
          </w:p>
        </w:tc>
      </w:tr>
      <w:tr w:rsidR="00025A14" w:rsidRPr="00BD2003" w14:paraId="2EB837DE" w14:textId="77777777" w:rsidTr="007E03ED">
        <w:trPr>
          <w:trHeight w:val="274"/>
        </w:trPr>
        <w:tc>
          <w:tcPr>
            <w:tcW w:w="0" w:type="auto"/>
            <w:tcBorders>
              <w:top w:val="nil"/>
              <w:left w:val="nil"/>
              <w:bottom w:val="single" w:sz="0" w:space="0" w:color="000000"/>
              <w:right w:val="nil"/>
            </w:tcBorders>
            <w:vAlign w:val="bottom"/>
          </w:tcPr>
          <w:p w14:paraId="0298D425"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Mixed Multiple ethnic groups</w:t>
            </w:r>
          </w:p>
        </w:tc>
        <w:tc>
          <w:tcPr>
            <w:tcW w:w="0" w:type="auto"/>
            <w:tcBorders>
              <w:top w:val="nil"/>
              <w:left w:val="nil"/>
              <w:bottom w:val="single" w:sz="0" w:space="0" w:color="000000"/>
              <w:right w:val="nil"/>
            </w:tcBorders>
            <w:vAlign w:val="bottom"/>
          </w:tcPr>
          <w:p w14:paraId="3C0F36DB"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16 (3.8)</w:t>
            </w:r>
          </w:p>
        </w:tc>
      </w:tr>
    </w:tbl>
    <w:p w14:paraId="4742CBCB" w14:textId="4FC9D3DF" w:rsidR="00E95950" w:rsidRPr="00E95950" w:rsidRDefault="00E95950" w:rsidP="00E95950">
      <w:pPr>
        <w:jc w:val="both"/>
      </w:pPr>
    </w:p>
    <w:p w14:paraId="68911405" w14:textId="77777777" w:rsidR="00E95950" w:rsidRPr="00E95950" w:rsidRDefault="00E95950" w:rsidP="00E95950">
      <w:pPr>
        <w:jc w:val="both"/>
        <w:rPr>
          <w:b/>
          <w:bCs/>
        </w:rPr>
      </w:pPr>
      <w:r w:rsidRPr="00E95950">
        <w:rPr>
          <w:b/>
          <w:bCs/>
        </w:rPr>
        <w:t>Quantitative Findings</w:t>
      </w:r>
    </w:p>
    <w:p w14:paraId="20B9E586" w14:textId="77777777" w:rsidR="00E95950" w:rsidRPr="00E95950" w:rsidRDefault="00E95950" w:rsidP="00E95950">
      <w:pPr>
        <w:jc w:val="both"/>
        <w:rPr>
          <w:b/>
          <w:bCs/>
        </w:rPr>
      </w:pPr>
      <w:r w:rsidRPr="00E95950">
        <w:rPr>
          <w:b/>
          <w:bCs/>
        </w:rPr>
        <w:t>User Engagement with ToS Agreements</w:t>
      </w:r>
    </w:p>
    <w:p w14:paraId="16A71A20" w14:textId="47F1A56A" w:rsidR="00E95950" w:rsidRDefault="00E95950" w:rsidP="00E95950">
      <w:pPr>
        <w:jc w:val="both"/>
      </w:pPr>
      <w:r w:rsidRPr="00E95950">
        <w:t xml:space="preserve">Survey data revealed that engagement with ToS agreements was minimal. Only </w:t>
      </w:r>
      <w:r w:rsidR="00DE389E">
        <w:t xml:space="preserve">about </w:t>
      </w:r>
      <w:r w:rsidRPr="00E95950">
        <w:t>1</w:t>
      </w:r>
      <w:r w:rsidR="00DE389E">
        <w:t>8</w:t>
      </w:r>
      <w:r w:rsidRPr="00E95950">
        <w:t>% of respondents reported that they always read ToS before accepting them, while 2</w:t>
      </w:r>
      <w:r w:rsidR="00E14CC9">
        <w:t>7</w:t>
      </w:r>
      <w:r w:rsidRPr="00E95950">
        <w:t>% occasionally read them, and 5</w:t>
      </w:r>
      <w:r w:rsidR="00E14CC9">
        <w:t>5</w:t>
      </w:r>
      <w:r w:rsidRPr="00E95950">
        <w:t>% admitted to never reading them</w:t>
      </w:r>
      <w:r w:rsidR="005F2733">
        <w:t xml:space="preserve"> (</w:t>
      </w:r>
      <w:r w:rsidR="005F2733" w:rsidRPr="00E95950">
        <w:rPr>
          <w:b/>
          <w:bCs/>
        </w:rPr>
        <w:t xml:space="preserve">Figure </w:t>
      </w:r>
      <w:r w:rsidR="005F2733">
        <w:rPr>
          <w:b/>
          <w:bCs/>
        </w:rPr>
        <w:t>1)</w:t>
      </w:r>
      <w:r w:rsidRPr="00E95950">
        <w:t xml:space="preserve">. </w:t>
      </w:r>
      <w:r w:rsidRPr="006A348A">
        <w:rPr>
          <w:highlight w:val="yellow"/>
        </w:rPr>
        <w:t xml:space="preserve">A deeper examination of user behaviour highlighted that the primary reasons for non-engagement were the length of the documents (64%), the complexity of the language (58%), and the perception that the ToS was irrelevant (46%). These findings are illustrated in </w:t>
      </w:r>
      <w:r w:rsidRPr="006A348A">
        <w:rPr>
          <w:b/>
          <w:bCs/>
          <w:highlight w:val="yellow"/>
        </w:rPr>
        <w:t>Figure 1</w:t>
      </w:r>
      <w:r w:rsidRPr="006A348A">
        <w:rPr>
          <w:highlight w:val="yellow"/>
        </w:rPr>
        <w:t>, which depicts the distribution of barriers to engagement.</w:t>
      </w:r>
    </w:p>
    <w:p w14:paraId="0F589CC6" w14:textId="558322B5" w:rsidR="0036738B" w:rsidRDefault="0036738B" w:rsidP="00E95950">
      <w:pPr>
        <w:jc w:val="both"/>
      </w:pPr>
      <w:r w:rsidRPr="007E20BF">
        <w:rPr>
          <w:rFonts w:ascii="Arial" w:hAnsi="Arial" w:cs="Arial"/>
          <w:noProof/>
          <w:color w:val="000000" w:themeColor="text1"/>
        </w:rPr>
        <w:drawing>
          <wp:inline distT="0" distB="0" distL="0" distR="0" wp14:anchorId="22D75E3C" wp14:editId="3B46ED87">
            <wp:extent cx="5905500" cy="3055620"/>
            <wp:effectExtent l="0" t="0" r="0" b="11430"/>
            <wp:docPr id="140597346" name="Chart 1">
              <a:extLst xmlns:a="http://schemas.openxmlformats.org/drawingml/2006/main">
                <a:ext uri="{FF2B5EF4-FFF2-40B4-BE49-F238E27FC236}">
                  <a16:creationId xmlns:a16="http://schemas.microsoft.com/office/drawing/2014/main" id="{81D21F51-CF3F-03DB-3531-642EF7740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83108F" w14:textId="77777777" w:rsidR="00CB5EAE" w:rsidRPr="00CB5EAE" w:rsidRDefault="00CB5EAE" w:rsidP="00CB5EAE">
      <w:pPr>
        <w:jc w:val="both"/>
        <w:rPr>
          <w:b/>
          <w:bCs/>
        </w:rPr>
      </w:pPr>
      <w:r w:rsidRPr="00CB5EAE">
        <w:rPr>
          <w:b/>
          <w:bCs/>
        </w:rPr>
        <w:t>Figure 1: Prevalence of ever-read ToS of any online platform upon sign-up among participants</w:t>
      </w:r>
    </w:p>
    <w:p w14:paraId="120E1688" w14:textId="77777777" w:rsidR="00CB5EAE" w:rsidRPr="00E95950" w:rsidRDefault="00CB5EAE" w:rsidP="00E95950">
      <w:pPr>
        <w:jc w:val="both"/>
      </w:pPr>
    </w:p>
    <w:p w14:paraId="23A20C4D" w14:textId="77777777" w:rsidR="00E95950" w:rsidRPr="00E95950" w:rsidRDefault="00E95950" w:rsidP="00E95950">
      <w:pPr>
        <w:jc w:val="both"/>
        <w:rPr>
          <w:b/>
          <w:bCs/>
        </w:rPr>
      </w:pPr>
      <w:r w:rsidRPr="00E95950">
        <w:rPr>
          <w:b/>
          <w:bCs/>
        </w:rPr>
        <w:t>Demographic Influences on Engagement</w:t>
      </w:r>
      <w:r>
        <w:rPr>
          <w:b/>
        </w:rPr>
        <w:br/>
        <w:t>Table 2: Demographic Factors Impacting Engagement</w:t>
        <w:br/>
      </w:r>
      <w:r>
        <w:t>Table D.1.3: Demographic Factors Impacting Engagement</w:t>
        <w:br/>
        <w:t>Higher education significantly increases engagement (p = 0.002).</w:t>
        <w:br/>
      </w:r>
    </w:p>
    <w:p w14:paraId="1ABEB52D" w14:textId="77777777" w:rsidR="00E95950" w:rsidRPr="00E95950" w:rsidRDefault="00E95950" w:rsidP="00E95950">
      <w:pPr>
        <w:jc w:val="both"/>
      </w:pPr>
      <w:r w:rsidRPr="00E95950">
        <w:t>Multinomial logistic regression identified significant demographic factors influencing ToS engagement. Participants with higher education levels were 2.5 times more likely to read ToS documents consistently (p = 0.002). Age also played a significant role, with younger participants (18–24 years) being less likely to engage with ToS compared to those aged 45 years and above (p &lt; 0.05). Gender did not significantly influence engagement patterns.</w:t>
      </w:r>
    </w:p>
    <w:p w14:paraId="2139329A" w14:textId="77777777" w:rsidR="00E95950" w:rsidRPr="00E95950" w:rsidRDefault="00E95950" w:rsidP="00E95950">
      <w:pPr>
        <w:jc w:val="both"/>
        <w:rPr>
          <w:b/>
          <w:bCs/>
        </w:rPr>
      </w:pPr>
      <w:r w:rsidRPr="00E95950">
        <w:rPr>
          <w:b/>
          <w:bCs/>
        </w:rPr>
        <w:t>Perceived Importance of ToS</w:t>
      </w:r>
    </w:p>
    <w:p w14:paraId="2A56FAB7" w14:textId="0A8035C3" w:rsidR="00E95950" w:rsidRPr="00E95950" w:rsidRDefault="00E95950" w:rsidP="00E95950">
      <w:pPr>
        <w:jc w:val="both"/>
      </w:pPr>
      <w:r w:rsidRPr="00E95950">
        <w:t xml:space="preserve">Despite low engagement, 74% of participants acknowledged the importance of understanding ToS for protecting their privacy and rights online. However, only 27% believed current ToS formats were designed with the average user in mind. This perception underscores the need for tools like ToSSimplify that </w:t>
      </w:r>
      <w:r>
        <w:t>prioritise</w:t>
      </w:r>
      <w:r w:rsidRPr="00E95950">
        <w:t xml:space="preserve"> user comprehension.</w:t>
      </w:r>
    </w:p>
    <w:p w14:paraId="6A04211C" w14:textId="77777777" w:rsidR="00E95950" w:rsidRPr="00E95950" w:rsidRDefault="00E95950" w:rsidP="00E95950">
      <w:pPr>
        <w:jc w:val="both"/>
        <w:rPr>
          <w:b/>
          <w:bCs/>
        </w:rPr>
      </w:pPr>
      <w:r w:rsidRPr="00E95950">
        <w:rPr>
          <w:b/>
          <w:bCs/>
        </w:rPr>
        <w:t>Usability Testing Results</w:t>
      </w:r>
    </w:p>
    <w:p w14:paraId="3B772BDA" w14:textId="77777777" w:rsidR="00E95950" w:rsidRPr="00E95950" w:rsidRDefault="00E95950" w:rsidP="00E95950">
      <w:pPr>
        <w:jc w:val="both"/>
        <w:rPr>
          <w:b/>
          <w:bCs/>
        </w:rPr>
      </w:pPr>
      <w:r w:rsidRPr="00E95950">
        <w:rPr>
          <w:b/>
          <w:bCs/>
        </w:rPr>
        <w:t>Task Completion and Efficiency</w:t>
      </w:r>
    </w:p>
    <w:p w14:paraId="65DA2DA0" w14:textId="445CF3A5" w:rsidR="00E95950" w:rsidRPr="00E95950" w:rsidRDefault="00E95950" w:rsidP="00E95950">
      <w:pPr>
        <w:jc w:val="both"/>
      </w:pPr>
      <w:r w:rsidRPr="00E95950">
        <w:t xml:space="preserve">Usability testing of the ToSSimplify prototype demonstrated promising results. Participants were assigned five tasks related to ToS simplification and interaction, including identifying key clauses, expanding </w:t>
      </w:r>
      <w:r>
        <w:t>summarised</w:t>
      </w:r>
      <w:r w:rsidRPr="00E95950">
        <w:t xml:space="preserve"> sections, and providing feedback. The overall task completion rate was 92%, with most participants completing their tasks successfully. The average time per task was 2.8 minutes, with a standard deviation of 0.6 minutes, indicating consistent </w:t>
      </w:r>
      <w:r w:rsidR="00283B7A">
        <w:t>user performance</w:t>
      </w:r>
      <w:r w:rsidRPr="00E95950">
        <w:t xml:space="preserve">. Detailed task performance metrics are presented in </w:t>
      </w:r>
      <w:r w:rsidRPr="00E95950">
        <w:rPr>
          <w:b/>
          <w:bCs/>
        </w:rPr>
        <w:t>Table 2</w:t>
      </w:r>
      <w:r w:rsidRPr="00E95950">
        <w:t>.</w:t>
      </w:r>
    </w:p>
    <w:p w14:paraId="7E152E62" w14:textId="77777777" w:rsidR="00E95950" w:rsidRPr="00E95950" w:rsidRDefault="00E95950" w:rsidP="00E95950">
      <w:pPr>
        <w:jc w:val="both"/>
        <w:rPr>
          <w:b/>
          <w:bCs/>
        </w:rPr>
      </w:pPr>
      <w:r w:rsidRPr="00E95950">
        <w:rPr>
          <w:b/>
          <w:bCs/>
        </w:rPr>
        <w:t>Table 2. Task Completion Rates and Time-on-Task</w:t>
      </w:r>
    </w:p>
    <w:p w14:paraId="0DA16EF3" w14:textId="77777777" w:rsidR="00E95950" w:rsidRPr="00E95950" w:rsidRDefault="00E95950" w:rsidP="00E95950">
      <w:pPr>
        <w:jc w:val="both"/>
      </w:pPr>
      <w:r w:rsidRPr="00E95950">
        <w:t>[Insert Table 2 here]</w:t>
      </w:r>
    </w:p>
    <w:p w14:paraId="052A11CF" w14:textId="77777777" w:rsidR="00E95950" w:rsidRPr="00E95950" w:rsidRDefault="00E95950" w:rsidP="00E95950">
      <w:pPr>
        <w:jc w:val="both"/>
        <w:rPr>
          <w:b/>
          <w:bCs/>
        </w:rPr>
      </w:pPr>
      <w:r w:rsidRPr="00E95950">
        <w:rPr>
          <w:b/>
          <w:bCs/>
        </w:rPr>
        <w:t>User Feedback and Observations</w:t>
      </w:r>
    </w:p>
    <w:p w14:paraId="39F9E826" w14:textId="7A725AEE" w:rsidR="00E95950" w:rsidRPr="00E95950" w:rsidRDefault="00E95950" w:rsidP="00E95950">
      <w:pPr>
        <w:jc w:val="both"/>
      </w:pPr>
      <w:r w:rsidRPr="00E95950">
        <w:t xml:space="preserve">The think-aloud protocol and post-interaction interviews provided valuable insights into user experiences with ToSSimplify. Participants overwhelmingly appreciated the </w:t>
      </w:r>
      <w:r w:rsidR="00283B7A">
        <w:t>tool’s</w:t>
      </w:r>
      <w:r w:rsidRPr="00E95950">
        <w:t xml:space="preserve"> ability to simplify complex legal language, with one participant remarking, “This tool makes it feel like I can understand what </w:t>
      </w:r>
      <w:r>
        <w:t>I am</w:t>
      </w:r>
      <w:r w:rsidRPr="00E95950">
        <w:t xml:space="preserve"> agreeing to for the first time.” However, some challenges were noted. For instance, a few participants experienced difficulty locating hyperlinks that led to detailed clauses, suggesting a need for improved visual cues. These observations were further supported by the task error rate of 8%, primarily related to navigation issues.</w:t>
      </w:r>
    </w:p>
    <w:p w14:paraId="434BCB40" w14:textId="77777777" w:rsidR="00E95950" w:rsidRPr="00E95950" w:rsidRDefault="00E95950" w:rsidP="00E95950">
      <w:pPr>
        <w:jc w:val="both"/>
        <w:rPr>
          <w:b/>
          <w:bCs/>
        </w:rPr>
      </w:pPr>
      <w:r w:rsidRPr="00E95950">
        <w:rPr>
          <w:b/>
          <w:bCs/>
        </w:rPr>
        <w:t>Heuristic Evaluation Results</w:t>
      </w:r>
    </w:p>
    <w:p w14:paraId="4DC14119" w14:textId="6450EB21" w:rsidR="00E95950" w:rsidRPr="00E95950" w:rsidRDefault="00E95950" w:rsidP="00E95950">
      <w:pPr>
        <w:jc w:val="both"/>
      </w:pPr>
      <w:r w:rsidRPr="00E95950">
        <w:t>Expert evaluation of the prototype identified several usability issues. The most critical included inconsistent navigation elements and the lack of immediate feedback during processing. For example, when users clicked the “simplify” button, no loading indicator was displayed, causing uncertainty about whether the tool was functioning. These issues were rated with a severity of 3/4</w:t>
      </w:r>
      <w:r>
        <w:t>, summarised</w:t>
      </w:r>
      <w:r w:rsidRPr="00E95950">
        <w:t xml:space="preserve"> in </w:t>
      </w:r>
      <w:r w:rsidRPr="00E95950">
        <w:rPr>
          <w:b/>
          <w:bCs/>
        </w:rPr>
        <w:t>Table 3</w:t>
      </w:r>
      <w:r w:rsidRPr="00E95950">
        <w:t>.</w:t>
      </w:r>
    </w:p>
    <w:p w14:paraId="09EB36AD" w14:textId="77777777" w:rsidR="00E95950" w:rsidRPr="00E95950" w:rsidRDefault="00E95950" w:rsidP="00E95950">
      <w:pPr>
        <w:jc w:val="both"/>
        <w:rPr>
          <w:b/>
          <w:bCs/>
        </w:rPr>
      </w:pPr>
      <w:r w:rsidRPr="00E95950">
        <w:rPr>
          <w:b/>
          <w:bCs/>
        </w:rPr>
        <w:t>Table 3. Identified Usability Issues and Recommendations</w:t>
      </w:r>
    </w:p>
    <w:p w14:paraId="1F9D2F1E" w14:textId="77777777" w:rsidR="00E95950" w:rsidRPr="00E95950" w:rsidRDefault="00E95950" w:rsidP="00E95950">
      <w:pPr>
        <w:jc w:val="both"/>
      </w:pPr>
      <w:r w:rsidRPr="00E95950">
        <w:t>[Insert Table 3 here]</w:t>
      </w:r>
    </w:p>
    <w:p w14:paraId="6C64CB3C" w14:textId="77777777" w:rsidR="00E95950" w:rsidRPr="00E95950" w:rsidRDefault="00E95950" w:rsidP="00E95950">
      <w:pPr>
        <w:jc w:val="both"/>
        <w:rPr>
          <w:b/>
          <w:bCs/>
        </w:rPr>
      </w:pPr>
      <w:r w:rsidRPr="00E95950">
        <w:rPr>
          <w:b/>
          <w:bCs/>
        </w:rPr>
        <w:t>Impact on User Comprehension and Satisfaction</w:t>
      </w:r>
    </w:p>
    <w:p w14:paraId="71D5B235" w14:textId="11017D11" w:rsidR="00E95950" w:rsidRPr="00E95950" w:rsidRDefault="00E95950" w:rsidP="00E95950">
      <w:pPr>
        <w:jc w:val="both"/>
      </w:pPr>
      <w:r w:rsidRPr="00E95950">
        <w:t xml:space="preserve">The ToSSimplify tool significantly improved user comprehension of ToS agreements. Before using the tool, only 19% of participants felt confident in understanding ToS documents, </w:t>
      </w:r>
      <w:r w:rsidR="00283B7A">
        <w:t>which</w:t>
      </w:r>
      <w:r w:rsidRPr="00E95950">
        <w:t xml:space="preserve"> increased to 81% after interacting with the prototype. This improvement was particularly evident among participants with lower levels of formal education, who reported a greater sense of empowerment and reduced cognitive load.</w:t>
      </w:r>
    </w:p>
    <w:p w14:paraId="2E228D5F" w14:textId="3AAECA85" w:rsidR="00E95950" w:rsidRPr="00E95950" w:rsidRDefault="00E95950" w:rsidP="00E95950">
      <w:pPr>
        <w:jc w:val="both"/>
      </w:pPr>
      <w:r w:rsidRPr="00E95950">
        <w:t xml:space="preserve">User satisfaction scores were equally encouraging, with 87% of participants rating their experience as </w:t>
      </w:r>
      <w:r>
        <w:t>“</w:t>
      </w:r>
      <w:r w:rsidRPr="00E95950">
        <w:t>very good</w:t>
      </w:r>
      <w:r>
        <w:t>”</w:t>
      </w:r>
      <w:r w:rsidRPr="00E95950">
        <w:t xml:space="preserve"> or </w:t>
      </w:r>
      <w:r>
        <w:t>“</w:t>
      </w:r>
      <w:r w:rsidRPr="00E95950">
        <w:t>excellent.</w:t>
      </w:r>
      <w:r w:rsidR="00283B7A">
        <w:t>”</w:t>
      </w:r>
      <w:r w:rsidRPr="00E95950">
        <w:t xml:space="preserve"> Common themes in participant feedback included the clarity of the summaries and the ease of navigation through collapsible sections. However, the lack of immediate feedback during some operations was cited as a limitation, aligning with the findings from the heuristic evaluation.</w:t>
      </w:r>
    </w:p>
    <w:p w14:paraId="4443200B" w14:textId="77777777" w:rsidR="00E95950" w:rsidRPr="0001534D" w:rsidRDefault="00E95950" w:rsidP="003A21CD">
      <w:pPr>
        <w:pStyle w:val="Heading1"/>
      </w:pPr>
      <w:r w:rsidRPr="0001534D">
        <w:t>Discussion</w:t>
      </w:r>
    </w:p>
    <w:p w14:paraId="6DF2751C" w14:textId="64F8D709" w:rsidR="00234ED2" w:rsidRPr="00234ED2" w:rsidRDefault="00234ED2" w:rsidP="00234ED2">
      <w:pPr>
        <w:jc w:val="both"/>
      </w:pPr>
      <w:r w:rsidRPr="00234ED2">
        <w:t xml:space="preserve">This study provides compelling evidence that ToSSimplify, an AI-powered tool for simplifying Terms of Service (ToS) agreements, addresses critical user engagement and comprehension barriers. The findings reveal that user disengagement with ToS agreements is primarily driven by document length, complexity of language, and perceived irrelevance. These barriers align with existing literature, which has long highlighted the disconnect between legalistic ToS formats and users’ cognitive capacities </w:t>
      </w:r>
      <w:r w:rsidR="008F5D18">
        <w:fldChar w:fldCharType="begin">
          <w:fldData xml:space="preserve">PEVuZE5vdGU+PENpdGU+PEF1dGhvcj5NY0RvbmFsZDwvQXV0aG9yPjxZZWFyPjIwMDg8L1llYXI+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</w:fldData>
        </w:fldChar>
      </w:r>
      <w:r w:rsidR="004221BE">
        <w:instrText xml:space="preserve"> ADDIN EN.CITE </w:instrText>
      </w:r>
      <w:r w:rsidR="004221BE">
        <w:fldChar w:fldCharType="begin">
          <w:fldData xml:space="preserve">PEVuZE5vdGU+PENpdGU+PEF1dGhvcj5NY0RvbmFsZDwvQXV0aG9yPjxZZWFyPjIwMDg8L1llYXI+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</w:fldData>
        </w:fldChar>
      </w:r>
      <w:r w:rsidR="004221BE">
        <w:instrText xml:space="preserve"> ADDIN EN.CITE.DATA </w:instrText>
      </w:r>
      <w:r w:rsidR="004221BE">
        <w:fldChar w:fldCharType="end"/>
      </w:r>
      <w:r w:rsidR="008F5D18">
        <w:fldChar w:fldCharType="separate"/>
      </w:r>
      <w:r w:rsidR="004221BE">
        <w:rPr>
          <w:noProof/>
        </w:rPr>
        <w:t>(3, 7, 12)</w:t>
      </w:r>
      <w:r w:rsidR="008F5D18">
        <w:fldChar w:fldCharType="end"/>
      </w:r>
      <w:r w:rsidRPr="00234ED2">
        <w:t>. This study demonstrates that AI-driven tools can effectively mitigate these challenges, fostering improved user understanding and digital literacy.</w:t>
      </w:r>
    </w:p>
    <w:p w14:paraId="0983ADAF" w14:textId="0AF011CE" w:rsidR="00234ED2" w:rsidRPr="00234ED2" w:rsidRDefault="00234ED2" w:rsidP="00234ED2">
      <w:pPr>
        <w:jc w:val="both"/>
      </w:pPr>
      <w:r w:rsidRPr="00234ED2">
        <w:t xml:space="preserve">The quantitative data indicate that only 17% of participants consistently read ToS agreements, a statistic consistent with global trends in user behaviour </w:t>
      </w:r>
      <w:r w:rsidR="00F578F8">
        <w:fldChar w:fldCharType="begin"/>
      </w:r>
      <w:r w:rsidR="004221BE">
        <w:instrText xml:space="preserve"> ADDIN EN.CITE &lt;EndNote&gt;&lt;Cite&gt;&lt;Author&gt;Bakos&lt;/Author&gt;&lt;Year&gt;2014&lt;/Year&gt;&lt;RecNum&gt;48&lt;/RecNum&gt;&lt;DisplayText&gt;(2, 4)&lt;/DisplayText&gt;&lt;record&gt;&lt;rec-number&gt;48&lt;/rec-number&gt;&lt;foreign-keys&gt;&lt;key app="EN" db-id="rzddz9xtze9xz3erwto5zafcd5w22rsasxfx" timestamp="1718106487"&gt;48&lt;/key&gt;&lt;/foreign-keys&gt;&lt;ref-type name="Journal Article"&gt;17&lt;/ref-type&gt;&lt;contributors&gt;&lt;authors&gt;&lt;author&gt;Bakos, Yannis&lt;/author&gt;&lt;author&gt;Marotta-Wurgler, Florencia&lt;/author&gt;&lt;author&gt;Trossen, David R&lt;/author&gt;&lt;/authors&gt;&lt;/contributors&gt;&lt;titles&gt;&lt;title&gt;Does anyone read the fine print? Consumer attention to standard-form contracts&lt;/title&gt;&lt;secondary-title&gt;The Journal of Legal Studies&lt;/secondary-title&gt;&lt;/titles&gt;&lt;periodical&gt;&lt;full-title&gt;The Journal of Legal Studies&lt;/full-title&gt;&lt;/periodical&gt;&lt;pages&gt;1-35&lt;/pages&gt;&lt;volume&gt;43&lt;/volume&gt;&lt;number&gt;1&lt;/number&gt;&lt;dates&gt;&lt;year&gt;2014&lt;/year&gt;&lt;/dates&gt;&lt;isbn&gt;0047-2530&lt;/isbn&gt;&lt;urls&gt;&lt;/urls&gt;&lt;/record&gt;&lt;/Cite&gt;&lt;Cite&gt;&lt;Author&gt;Obar&lt;/Author&gt;&lt;Year&gt;2020&lt;/Year&gt;&lt;RecNum&gt;9&lt;/RecNum&gt;&lt;record&gt;&lt;rec-number&gt;9&lt;/rec-number&gt;&lt;foreign-keys&gt;&lt;key app="EN" db-id="rzddz9xtze9xz3erwto5zafcd5w22rsasxfx" timestamp="1715605717"&gt;9&lt;/key&gt;&lt;/foreign-keys&gt;&lt;ref-type name="Journal Article"&gt;17&lt;/ref-type&gt;&lt;contributors&gt;&lt;authors&gt;&lt;author&gt;Obar, Jonathan A&lt;/author&gt;&lt;author&gt;Oeldorf-Hirsch, Anne&lt;/author&gt;&lt;/authors&gt;&lt;/contributors&gt;&lt;titles&gt;&lt;title&gt;The biggest lie on the internet: Ignoring the privacy policies and terms of service policies of social networking services&lt;/title&gt;&lt;secondary-title&gt;Information, Communication &amp;amp; Society&lt;/secondary-title&gt;&lt;/titles&gt;&lt;periodical&gt;&lt;full-title&gt;Information, Communication &amp;amp; Society&lt;/full-title&gt;&lt;/periodical&gt;&lt;pages&gt;128-147&lt;/pages&gt;&lt;volume&gt;23&lt;/volume&gt;&lt;number&gt;1&lt;/number&gt;&lt;dates&gt;&lt;year&gt;2020&lt;/year&gt;&lt;/dates&gt;&lt;isbn&gt;1369-118X&lt;/isbn&gt;&lt;urls&gt;&lt;/urls&gt;&lt;/record&gt;&lt;/Cite&gt;&lt;/EndNote&gt;</w:instrText>
      </w:r>
      <w:r w:rsidR="00F578F8">
        <w:fldChar w:fldCharType="separate"/>
      </w:r>
      <w:r w:rsidR="004221BE">
        <w:rPr>
          <w:noProof/>
        </w:rPr>
        <w:t>(2, 4)</w:t>
      </w:r>
      <w:r w:rsidR="00F578F8">
        <w:fldChar w:fldCharType="end"/>
      </w:r>
      <w:r w:rsidR="00F578F8">
        <w:t>.</w:t>
      </w:r>
      <w:r w:rsidRPr="00234ED2">
        <w:t xml:space="preserve"> Despite this low engagement, a significant majority (74%) acknowledged the importance of understanding ToS for protecting their rights. This discrepancy underscores a latent demand for tools that simplify legal texts without compromising legal integrity </w:t>
      </w:r>
      <w:r w:rsidR="003F2C91">
        <w:fldChar w:fldCharType="begin"/>
      </w:r>
      <w:r w:rsidR="004221BE">
        <w:instrText xml:space="preserve"> ADDIN EN.CITE &lt;EndNote&gt;&lt;Cite&gt;&lt;Author&gt;Ben-Shahar&lt;/Author&gt;&lt;Year&gt;2014&lt;/Year&gt;&lt;RecNum&gt;63&lt;/RecNum&gt;&lt;DisplayText&gt;(9)&lt;/DisplayText&gt;&lt;record&gt;&lt;rec-number&gt;63&lt;/rec-number&gt;&lt;foreign-keys&gt;&lt;key app="EN" db-id="rzddz9xtze9xz3erwto5zafcd5w22rsasxfx" timestamp="1718115852"&gt;63&lt;/key&gt;&lt;/foreign-keys&gt;&lt;ref-type name="Book"&gt;6&lt;/ref-type&gt;&lt;contributors&gt;&lt;authors&gt;&lt;author&gt;Ben-Shahar, Omri&lt;/author&gt;&lt;author&gt;Schneider, Carl E&lt;/author&gt;&lt;/authors&gt;&lt;/contributors&gt;&lt;titles&gt;&lt;title&gt;More than you wanted to know: The Failure of Mandated Disclosure&lt;/title&gt;&lt;/titles&gt;&lt;dates&gt;&lt;year&gt;2014&lt;/year&gt;&lt;/dates&gt;&lt;publisher&gt;Princeton University Press&lt;/publisher&gt;&lt;isbn&gt;140085038X&lt;/isbn&gt;&lt;urls&gt;&lt;/urls&gt;&lt;/record&gt;&lt;/Cite&gt;&lt;/EndNote&gt;</w:instrText>
      </w:r>
      <w:r w:rsidR="003F2C91">
        <w:fldChar w:fldCharType="separate"/>
      </w:r>
      <w:r w:rsidR="004221BE">
        <w:rPr>
          <w:noProof/>
        </w:rPr>
        <w:t>(9)</w:t>
      </w:r>
      <w:r w:rsidR="003F2C91">
        <w:fldChar w:fldCharType="end"/>
      </w:r>
      <w:r w:rsidRPr="00234ED2">
        <w:t xml:space="preserve">. ToSSimplify </w:t>
      </w:r>
      <w:r w:rsidR="00D73859" w:rsidRPr="00234ED2">
        <w:t>fulfils</w:t>
      </w:r>
      <w:r w:rsidRPr="00234ED2">
        <w:t xml:space="preserve"> this </w:t>
      </w:r>
      <w:r w:rsidR="003F2C91">
        <w:t>need</w:t>
      </w:r>
      <w:r w:rsidRPr="00234ED2">
        <w:t xml:space="preserve"> by providing clear, concise summaries of key clauses, reducing cognitive load, and encouraging users to engage with content they would otherwise ignore. This finding reinforces calls for interventions that bridge the gap between complex legal texts and user comprehension </w:t>
      </w:r>
      <w:r w:rsidR="003F2C91">
        <w:fldChar w:fldCharType="begin"/>
      </w:r>
      <w:r w:rsidR="004221BE">
        <w:instrText xml:space="preserve"> ADDIN EN.CITE &lt;EndNote&gt;&lt;Cite&gt;&lt;Author&gt;Nouwens&lt;/Author&gt;&lt;Year&gt;2020&lt;/Year&gt;&lt;RecNum&gt;27&lt;/RecNum&gt;&lt;DisplayText&gt;(34)&lt;/DisplayText&gt;&lt;record&gt;&lt;rec-number&gt;27&lt;/rec-number&gt;&lt;foreign-keys&gt;&lt;key app="EN" db-id="rzddz9xtze9xz3erwto5zafcd5w22rsasxfx" timestamp="1715803359"&gt;27&lt;/key&gt;&lt;/foreign-keys&gt;&lt;ref-type name="Conference Proceedings"&gt;10&lt;/ref-type&gt;&lt;contributors&gt;&lt;authors&gt;&lt;author&gt;Nouwens, Midas&lt;/author&gt;&lt;author&gt;Liccardi, Ilaria&lt;/author&gt;&lt;author&gt;Veale, Michael&lt;/author&gt;&lt;author&gt;Karger, David&lt;/author&gt;&lt;author&gt;Kagal, Lalana&lt;/author&gt;&lt;/authors&gt;&lt;/contributors&gt;&lt;titles&gt;&lt;title&gt;Dark patterns after the GDPR: Scraping consent pop-ups and demonstrating their influence&lt;/title&gt;&lt;secondary-title&gt;Proceedings of the 2020 CHI conference on human factors in computing systems&lt;/secondary-title&gt;&lt;/titles&gt;&lt;pages&gt;1-13&lt;/pages&gt;&lt;dates&gt;&lt;year&gt;2020&lt;/year&gt;&lt;/dates&gt;&lt;urls&gt;&lt;/urls&gt;&lt;/record&gt;&lt;/Cite&gt;&lt;/EndNote&gt;</w:instrText>
      </w:r>
      <w:r w:rsidR="003F2C91">
        <w:fldChar w:fldCharType="separate"/>
      </w:r>
      <w:r w:rsidR="004221BE">
        <w:rPr>
          <w:noProof/>
        </w:rPr>
        <w:t>(34)</w:t>
      </w:r>
      <w:r w:rsidR="003F2C91">
        <w:fldChar w:fldCharType="end"/>
      </w:r>
      <w:r w:rsidRPr="00234ED2">
        <w:t>.</w:t>
      </w:r>
    </w:p>
    <w:p w14:paraId="1BAAC574" w14:textId="53B26FC7" w:rsidR="00234ED2" w:rsidRPr="00234ED2" w:rsidRDefault="00234ED2" w:rsidP="00234ED2">
      <w:pPr>
        <w:jc w:val="both"/>
      </w:pPr>
      <w:r w:rsidRPr="00234ED2">
        <w:t xml:space="preserve">Qualitative findings from usability testing further illuminate the tool’s impact. Participants reported increased confidence in understanding ToS after using ToSSimplify, with comprehension levels rising from 19% pre-tool to 81% post-tool. These results support the premise that AI-driven simplification tools can significantly enhance user autonomy and informed consent </w:t>
      </w:r>
      <w:r w:rsidR="0035337E">
        <w:fldChar w:fldCharType="begin"/>
      </w:r>
      <w:r w:rsidR="004221BE">
        <w:instrText xml:space="preserve"> ADDIN EN.CITE &lt;EndNote&gt;&lt;Cite&gt;&lt;Author&gt;Böhme&lt;/Author&gt;&lt;Year&gt;2010&lt;/Year&gt;&lt;RecNum&gt;50&lt;/RecNum&gt;&lt;DisplayText&gt;(5, 35)&lt;/DisplayText&gt;&lt;record&gt;&lt;rec-number&gt;50&lt;/rec-number&gt;&lt;foreign-keys&gt;&lt;key app="EN" db-id="rzddz9xtze9xz3erwto5zafcd5w22rsasxfx" timestamp="1718106694"&gt;50&lt;/key&gt;&lt;/foreign-keys&gt;&lt;ref-type name="Conference Proceedings"&gt;10&lt;/ref-type&gt;&lt;contributors&gt;&lt;authors&gt;&lt;author&gt;Böhme, Rainer&lt;/author&gt;&lt;author&gt;Köpsell, Stefan&lt;/author&gt;&lt;/authors&gt;&lt;/contributors&gt;&lt;titles&gt;&lt;title&gt;Trained to accept? A field experiment on consent dialogs&lt;/title&gt;&lt;secondary-title&gt;Proceedings of the SIGCHI conference on human factors in computing systems&lt;/secondary-title&gt;&lt;/titles&gt;&lt;pages&gt;2403-2406&lt;/pages&gt;&lt;dates&gt;&lt;year&gt;2010&lt;/year&gt;&lt;/dates&gt;&lt;urls&gt;&lt;/urls&gt;&lt;/record&gt;&lt;/Cite&gt;&lt;Cite&gt;&lt;Author&gt;Fiesler&lt;/Author&gt;&lt;Year&gt;2016&lt;/Year&gt;&lt;RecNum&gt;26&lt;/RecNum&gt;&lt;record&gt;&lt;rec-number&gt;26&lt;/rec-number&gt;&lt;foreign-keys&gt;&lt;key app="EN" db-id="rzddz9xtze9xz3erwto5zafcd5w22rsasxfx" timestamp="1715803089"&gt;26&lt;/key&gt;&lt;/foreign-keys&gt;&lt;ref-type name="Conference Proceedings"&gt;10&lt;/ref-type&gt;&lt;contributors&gt;&lt;authors&gt;&lt;author&gt;Fiesler, Casey&lt;/author&gt;&lt;author&gt;Lampe, Cliff&lt;/author&gt;&lt;author&gt;Bruckman, Amy S&lt;/author&gt;&lt;/authors&gt;&lt;/contributors&gt;&lt;titles&gt;&lt;title&gt;Reality and perception of copyright terms of service for online content creation&lt;/title&gt;&lt;secondary-title&gt;Proceedings of the 19th ACM conference on computer-supported cooperative work &amp;amp; social computing&lt;/secondary-title&gt;&lt;/titles&gt;&lt;pages&gt;1450-1461&lt;/pages&gt;&lt;dates&gt;&lt;year&gt;2016&lt;/year&gt;&lt;/dates&gt;&lt;urls&gt;&lt;/urls&gt;&lt;/record&gt;&lt;/Cite&gt;&lt;/EndNote&gt;</w:instrText>
      </w:r>
      <w:r w:rsidR="0035337E">
        <w:fldChar w:fldCharType="separate"/>
      </w:r>
      <w:r w:rsidR="004221BE">
        <w:rPr>
          <w:noProof/>
        </w:rPr>
        <w:t>(5, 35)</w:t>
      </w:r>
      <w:r w:rsidR="0035337E">
        <w:fldChar w:fldCharType="end"/>
      </w:r>
      <w:r w:rsidRPr="00234ED2">
        <w:t xml:space="preserve">. Moreover, the overwhelmingly </w:t>
      </w:r>
      <w:r w:rsidR="00367E90">
        <w:t xml:space="preserve">87% </w:t>
      </w:r>
      <w:r w:rsidRPr="00234ED2">
        <w:t>positive user feedbac</w:t>
      </w:r>
      <w:r w:rsidR="00367E90">
        <w:t>k</w:t>
      </w:r>
      <w:r w:rsidRPr="00234ED2">
        <w:t xml:space="preserve"> of participants rated their experience as “very good” or “excellent”</w:t>
      </w:r>
      <w:r w:rsidR="00367E90">
        <w:t xml:space="preserve"> </w:t>
      </w:r>
      <w:r w:rsidRPr="00234ED2">
        <w:t xml:space="preserve">demonstrates the tool’s ability to bridge the gap between legal complexity and user accessibility, a critical factor in fostering trust and transparency in online platforms </w:t>
      </w:r>
      <w:r w:rsidR="002048B1">
        <w:fldChar w:fldCharType="begin"/>
      </w:r>
      <w:r w:rsidR="004221BE">
        <w:instrText xml:space="preserve"> ADDIN EN.CITE &lt;EndNote&gt;&lt;Cite&gt;&lt;Author&gt;Hartzog&lt;/Author&gt;&lt;Year&gt;2018&lt;/Year&gt;&lt;RecNum&gt;44&lt;/RecNum&gt;&lt;DisplayText&gt;(15, 36)&lt;/DisplayText&gt;&lt;record&gt;&lt;rec-number&gt;44&lt;/rec-number&gt;&lt;foreign-keys&gt;&lt;key app="EN" db-id="rzddz9xtze9xz3erwto5zafcd5w22rsasxfx" timestamp="1718103338"&gt;44&lt;/key&gt;&lt;/foreign-keys&gt;&lt;ref-type name="Book"&gt;6&lt;/ref-type&gt;&lt;contributors&gt;&lt;authors&gt;&lt;author&gt;Hartzog, Woodrow&lt;/author&gt;&lt;/authors&gt;&lt;/contributors&gt;&lt;titles&gt;&lt;title&gt;Privacy&amp;apos;s Blueprint: The Battle to Control the Design of New Technologies&lt;/title&gt;&lt;/titles&gt;&lt;dates&gt;&lt;year&gt;2018&lt;/year&gt;&lt;/dates&gt;&lt;publisher&gt;Harvard University Press&lt;/publisher&gt;&lt;isbn&gt;0674976002&lt;/isbn&gt;&lt;urls&gt;&lt;/urls&gt;&lt;/record&gt;&lt;/Cite&gt;&lt;Cite&gt;&lt;Author&gt;Waldman&lt;/Author&gt;&lt;Year&gt;2018&lt;/Year&gt;&lt;RecNum&gt;65&lt;/RecNum&gt;&lt;record&gt;&lt;rec-number&gt;65&lt;/rec-number&gt;&lt;foreign-keys&gt;&lt;key app="EN" db-id="rzddz9xtze9xz3erwto5zafcd5w22rsasxfx" timestamp="1718116936"&gt;65&lt;/key&gt;&lt;/foreign-keys&gt;&lt;ref-type name="Journal Article"&gt;17&lt;/ref-type&gt;&lt;contributors&gt;&lt;authors&gt;&lt;author&gt;Waldman, Ari Ezra&lt;/author&gt;&lt;/authors&gt;&lt;/contributors&gt;&lt;titles&gt;&lt;title&gt;Privacy, notice, and design&lt;/title&gt;&lt;secondary-title&gt;Stan. Tech. L. Rev.&lt;/secondary-title&gt;&lt;/titles&gt;&lt;periodical&gt;&lt;full-title&gt;Stan. Tech. L. Rev.&lt;/full-title&gt;&lt;/periodical&gt;&lt;pages&gt;74&lt;/pages&gt;&lt;volume&gt;21&lt;/volume&gt;&lt;dates&gt;&lt;year&gt;2018&lt;/year&gt;&lt;/dates&gt;&lt;urls&gt;&lt;/urls&gt;&lt;/record&gt;&lt;/Cite&gt;&lt;/EndNote&gt;</w:instrText>
      </w:r>
      <w:r w:rsidR="002048B1">
        <w:fldChar w:fldCharType="separate"/>
      </w:r>
      <w:r w:rsidR="004221BE">
        <w:rPr>
          <w:noProof/>
        </w:rPr>
        <w:t>(15, 36)</w:t>
      </w:r>
      <w:r w:rsidR="002048B1">
        <w:fldChar w:fldCharType="end"/>
      </w:r>
      <w:r w:rsidRPr="00234ED2">
        <w:t>.</w:t>
      </w:r>
    </w:p>
    <w:p w14:paraId="0165B36F" w14:textId="669BD563" w:rsidR="00234ED2" w:rsidRPr="00234ED2" w:rsidRDefault="00234ED2" w:rsidP="00234ED2">
      <w:pPr>
        <w:jc w:val="both"/>
      </w:pPr>
      <w:r w:rsidRPr="00234ED2">
        <w:t xml:space="preserve">The results align with prior studies advocating for simplified legal content to improve user engagement </w:t>
      </w:r>
      <w:r w:rsidR="00957B89">
        <w:fldChar w:fldCharType="begin"/>
      </w:r>
      <w:r w:rsidR="004221BE">
        <w:instrText xml:space="preserve"> ADDIN EN.CITE &lt;EndNote&gt;&lt;Cite&gt;&lt;Author&gt;Masur&lt;/Author&gt;&lt;Year&gt;2020&lt;/Year&gt;&lt;RecNum&gt;87&lt;/RecNum&gt;&lt;DisplayText&gt;(7, 37)&lt;/DisplayText&gt;&lt;record&gt;&lt;rec-number&gt;87&lt;/rec-number&gt;&lt;foreign-keys&gt;&lt;key app="EN" db-id="rzddz9xtze9xz3erwto5zafcd5w22rsasxfx" timestamp="1718120784"&gt;87&lt;/key&gt;&lt;/foreign-keys&gt;&lt;ref-type name="Journal Article"&gt;17&lt;/ref-type&gt;&lt;contributors&gt;&lt;authors&gt;&lt;author&gt;Masur, Philipp K&lt;/author&gt;&lt;/authors&gt;&lt;/contributors&gt;&lt;titles&gt;&lt;title&gt;How online privacy literacy supports self-data protection and self-determination in the age of information&lt;/title&gt;&lt;secondary-title&gt;Media and Communication&lt;/secondary-title&gt;&lt;/titles&gt;&lt;periodical&gt;&lt;full-title&gt;Media and Communication&lt;/full-title&gt;&lt;/periodical&gt;&lt;pages&gt;258-269&lt;/pages&gt;&lt;volume&gt;8&lt;/volume&gt;&lt;number&gt;2&lt;/number&gt;&lt;dates&gt;&lt;year&gt;2020&lt;/year&gt;&lt;/dates&gt;&lt;isbn&gt;2183-2439&lt;/isbn&gt;&lt;urls&gt;&lt;/urls&gt;&lt;/record&gt;&lt;/Cite&gt;&lt;Cite&gt;&lt;Author&gt;Reidenberg&lt;/Author&gt;&lt;Year&gt;2015&lt;/Year&gt;&lt;RecNum&gt;1&lt;/RecNum&gt;&lt;record&gt;&lt;rec-number&gt;1&lt;/rec-number&gt;&lt;foreign-keys&gt;&lt;key app="EN" db-id="rzddz9xtze9xz3erwto5zafcd5w22rsasxfx" timestamp="1715598386"&gt;1&lt;/key&gt;&lt;/foreign-keys&gt;&lt;ref-type name="Journal Article"&gt;17&lt;/ref-type&gt;&lt;contributors&gt;&lt;authors&gt;&lt;author&gt;Reidenberg, Joel R&lt;/author&gt;&lt;author&gt;Breaux, Travis&lt;/author&gt;&lt;author&gt;Cranor, Lorrie Faith&lt;/author&gt;&lt;author&gt;French, Brian&lt;/author&gt;&lt;author&gt;Grannis, Amanda&lt;/author&gt;&lt;author&gt;Graves, James T&lt;/author&gt;&lt;author&gt;Liu, Fei&lt;/author&gt;&lt;author&gt;McDonald, Aleecia&lt;/author&gt;&lt;author&gt;Norton, Thomas B&lt;/author&gt;&lt;author&gt;Ramanath, Rohan&lt;/author&gt;&lt;/authors&gt;&lt;/contributors&gt;&lt;titles&gt;&lt;title&gt;Disagreeable privacy policies: Mismatches between meaning and users&amp;apos; understanding&lt;/title&gt;&lt;secondary-title&gt;Berkeley Tech. LJ&lt;/secondary-title&gt;&lt;/titles&gt;&lt;periodical&gt;&lt;full-title&gt;Berkeley Tech. LJ&lt;/full-title&gt;&lt;/periodical&gt;&lt;pages&gt;39&lt;/pages&gt;&lt;volume&gt;30&lt;/volume&gt;&lt;dates&gt;&lt;year&gt;2015&lt;/year&gt;&lt;/dates&gt;&lt;urls&gt;&lt;/urls&gt;&lt;/record&gt;&lt;/Cite&gt;&lt;/EndNote&gt;</w:instrText>
      </w:r>
      <w:r w:rsidR="00957B89">
        <w:fldChar w:fldCharType="separate"/>
      </w:r>
      <w:r w:rsidR="004221BE">
        <w:rPr>
          <w:noProof/>
        </w:rPr>
        <w:t>(7, 37)</w:t>
      </w:r>
      <w:r w:rsidR="00957B89">
        <w:fldChar w:fldCharType="end"/>
      </w:r>
      <w:r w:rsidRPr="00234ED2">
        <w:t xml:space="preserve">. However, while previous efforts have primarily focused on static summaries, visual aids, or bullet points </w:t>
      </w:r>
      <w:r w:rsidR="00B644EF">
        <w:fldChar w:fldCharType="begin"/>
      </w:r>
      <w:r w:rsidR="004221BE">
        <w:instrText xml:space="preserve"> ADDIN EN.CITE &lt;EndNote&gt;&lt;Cite&gt;&lt;Author&gt;Kelley&lt;/Author&gt;&lt;Year&gt;2013&lt;/Year&gt;&lt;RecNum&gt;43&lt;/RecNum&gt;&lt;DisplayText&gt;(38, 39)&lt;/DisplayText&gt;&lt;record&gt;&lt;rec-number&gt;43&lt;/rec-number&gt;&lt;foreign-keys&gt;&lt;key app="EN" db-id="rzddz9xtze9xz3erwto5zafcd5w22rsasxfx" timestamp="1718102990"&gt;43&lt;/key&gt;&lt;/foreign-keys&gt;&lt;ref-type name="Conference Proceedings"&gt;10&lt;/ref-type&gt;&lt;contributors&gt;&lt;authors&gt;&lt;author&gt;Kelley, Patrick Gage&lt;/author&gt;&lt;author&gt;Cranor, Lorrie Faith&lt;/author&gt;&lt;author&gt;Sadeh, Norman&lt;/author&gt;&lt;/authors&gt;&lt;/contributors&gt;&lt;titles&gt;&lt;title&gt;Privacy as part of the app decision-making process&lt;/title&gt;&lt;secondary-title&gt;Proceedings of the SIGCHI conference on human factors in computing systems&lt;/secondary-title&gt;&lt;/titles&gt;&lt;pages&gt;3393-3402&lt;/pages&gt;&lt;dates&gt;&lt;year&gt;2013&lt;/year&gt;&lt;/dates&gt;&lt;urls&gt;&lt;/urls&gt;&lt;/record&gt;&lt;/Cite&gt;&lt;Cite&gt;&lt;Author&gt;Nissenbaum&lt;/Author&gt;&lt;Year&gt;2011&lt;/Year&gt;&lt;RecNum&gt;92&lt;/RecNum&gt;&lt;record&gt;&lt;rec-number&gt;92&lt;/rec-number&gt;&lt;foreign-keys&gt;&lt;key app="EN" db-id="rzddz9xtze9xz3erwto5zafcd5w22rsasxfx" timestamp="1718121097"&gt;92&lt;/key&gt;&lt;/foreign-keys&gt;&lt;ref-type name="Journal Article"&gt;17&lt;/ref-type&gt;&lt;contributors&gt;&lt;authors&gt;&lt;author&gt;Nissenbaum, Helen&lt;/author&gt;&lt;/authors&gt;&lt;/contributors&gt;&lt;titles&gt;&lt;title&gt;A contextual approach to privacy online&lt;/title&gt;&lt;secondary-title&gt;Daedalus&lt;/secondary-title&gt;&lt;/titles&gt;&lt;periodical&gt;&lt;full-title&gt;Daedalus&lt;/full-title&gt;&lt;/periodical&gt;&lt;pages&gt;32-48&lt;/pages&gt;&lt;volume&gt;140&lt;/volume&gt;&lt;number&gt;4&lt;/number&gt;&lt;dates&gt;&lt;year&gt;2011&lt;/year&gt;&lt;/dates&gt;&lt;isbn&gt;0011-5266&lt;/isbn&gt;&lt;urls&gt;&lt;/urls&gt;&lt;/record&gt;&lt;/Cite&gt;&lt;/EndNote&gt;</w:instrText>
      </w:r>
      <w:r w:rsidR="00B644EF">
        <w:fldChar w:fldCharType="separate"/>
      </w:r>
      <w:r w:rsidR="004221BE">
        <w:rPr>
          <w:noProof/>
        </w:rPr>
        <w:t>(38, 39)</w:t>
      </w:r>
      <w:r w:rsidR="00B644EF">
        <w:fldChar w:fldCharType="end"/>
      </w:r>
      <w:r w:rsidRPr="00234ED2">
        <w:t xml:space="preserve">, ToSSimplify represents a significant advancement by leveraging natural language processing (NLP) </w:t>
      </w:r>
      <w:r w:rsidR="00D73859">
        <w:t>to simplify and present ToS content dynamically</w:t>
      </w:r>
      <w:r w:rsidRPr="00234ED2">
        <w:t xml:space="preserve">. This adaptive approach allows the tool to accommodate the diversity and variability inherent in ToS agreements across different platforms, addressing critiques of one-size-fits-all solutions </w:t>
      </w:r>
      <w:r w:rsidR="002235FC">
        <w:fldChar w:fldCharType="begin"/>
      </w:r>
      <w:r w:rsidR="004221BE">
        <w:instrText xml:space="preserve"> ADDIN EN.CITE &lt;EndNote&gt;&lt;Cite&gt;&lt;Author&gt;Madden&lt;/Author&gt;&lt;Year&gt;2017&lt;/Year&gt;&lt;RecNum&gt;10&lt;/RecNum&gt;&lt;DisplayText&gt;(13, 18)&lt;/DisplayText&gt;&lt;record&gt;&lt;rec-number&gt;10&lt;/rec-number&gt;&lt;foreign-keys&gt;&lt;key app="EN" db-id="rzddz9xtze9xz3erwto5zafcd5w22rsasxfx" timestamp="1715605741"&gt;10&lt;/key&gt;&lt;/foreign-keys&gt;&lt;ref-type name="Journal Article"&gt;17&lt;/ref-type&gt;&lt;contributors&gt;&lt;authors&gt;&lt;author&gt;Madden, Mary&lt;/author&gt;&lt;author&gt;Gilman, Michele&lt;/author&gt;&lt;author&gt;Levy, Karen&lt;/author&gt;&lt;author&gt;Marwick, Alice&lt;/author&gt;&lt;/authors&gt;&lt;/contributors&gt;&lt;titles&gt;&lt;title&gt;Privacy, poverty, and big data: A matrix of vulnerabilities for poor Americans&lt;/title&gt;&lt;secondary-title&gt;Wash. UL Rev.&lt;/secondary-title&gt;&lt;/titles&gt;&lt;periodical&gt;&lt;full-title&gt;Wash. UL Rev.&lt;/full-title&gt;&lt;/periodical&gt;&lt;pages&gt;53&lt;/pages&gt;&lt;volume&gt;95&lt;/volume&gt;&lt;dates&gt;&lt;year&gt;2017&lt;/year&gt;&lt;/dates&gt;&lt;urls&gt;&lt;/urls&gt;&lt;/record&gt;&lt;/Cite&gt;&lt;Cite&gt;&lt;Author&gt;Plaut&lt;/Author&gt;&lt;Year&gt;2012&lt;/Year&gt;&lt;RecNum&gt;35&lt;/RecNum&gt;&lt;record&gt;&lt;rec-number&gt;35&lt;/rec-number&gt;&lt;foreign-keys&gt;&lt;key app="EN" db-id="rzddz9xtze9xz3erwto5zafcd5w22rsasxfx" timestamp="1715809408"&gt;35&lt;/key&gt;&lt;/foreign-keys&gt;&lt;ref-type name="Journal Article"&gt;17&lt;/ref-type&gt;&lt;contributors&gt;&lt;authors&gt;&lt;author&gt;Plaut, Victoria C&lt;/author&gt;&lt;author&gt;Bartlett III, Robert P&lt;/author&gt;&lt;/authors&gt;&lt;/contributors&gt;&lt;titles&gt;&lt;title&gt;Blind consent? A social psychological investigation of non-readership of click-through agreements&lt;/title&gt;&lt;secondary-title&gt;Law and human behavior&lt;/secondary-title&gt;&lt;/titles&gt;&lt;periodical&gt;&lt;full-title&gt;Law and human behavior&lt;/full-title&gt;&lt;/periodical&gt;&lt;pages&gt;293&lt;/pages&gt;&lt;volume&gt;36&lt;/volume&gt;&lt;number&gt;4&lt;/number&gt;&lt;dates&gt;&lt;year&gt;2012&lt;/year&gt;&lt;/dates&gt;&lt;isbn&gt;1573-661X&lt;/isbn&gt;&lt;urls&gt;&lt;/urls&gt;&lt;/record&gt;&lt;/Cite&gt;&lt;/EndNote&gt;</w:instrText>
      </w:r>
      <w:r w:rsidR="002235FC">
        <w:fldChar w:fldCharType="separate"/>
      </w:r>
      <w:r w:rsidR="004221BE">
        <w:rPr>
          <w:noProof/>
        </w:rPr>
        <w:t>(13, 18)</w:t>
      </w:r>
      <w:r w:rsidR="002235FC">
        <w:fldChar w:fldCharType="end"/>
      </w:r>
      <w:r w:rsidRPr="00234ED2">
        <w:t>.</w:t>
      </w:r>
    </w:p>
    <w:p w14:paraId="35A156F5" w14:textId="1E537E64" w:rsidR="00234ED2" w:rsidRPr="00234ED2" w:rsidRDefault="00234ED2" w:rsidP="00234ED2">
      <w:pPr>
        <w:jc w:val="both"/>
      </w:pPr>
      <w:r w:rsidRPr="00234ED2">
        <w:t xml:space="preserve">Unlike static summaries, which often oversimplify content or fail to highlight critical nuances, ToSSimplify offers a balance between brevity and depth. Its interactive design enables users to explore detailed explanations of specific clauses, catering to varied user interests and expertise. This feature aligns with </w:t>
      </w:r>
      <w:r w:rsidR="00D73859">
        <w:t>user-centred design principles</w:t>
      </w:r>
      <w:r w:rsidRPr="00234ED2">
        <w:t xml:space="preserve"> in digital accessibility research, </w:t>
      </w:r>
      <w:r w:rsidR="006602DD">
        <w:t>emphasising</w:t>
      </w:r>
      <w:r w:rsidRPr="00234ED2">
        <w:t xml:space="preserve"> the importance of adaptability and </w:t>
      </w:r>
      <w:r w:rsidR="006F0D77">
        <w:t>personalisation</w:t>
      </w:r>
      <w:r w:rsidRPr="00234ED2">
        <w:t xml:space="preserve"> </w:t>
      </w:r>
      <w:r w:rsidR="003E6A24">
        <w:fldChar w:fldCharType="begin"/>
      </w:r>
      <w:r w:rsidR="004221BE">
        <w:instrText xml:space="preserve"> ADDIN EN.CITE &lt;EndNote&gt;&lt;Cite&gt;&lt;Author&gt;Johnson&lt;/Author&gt;&lt;Year&gt;2020&lt;/Year&gt;&lt;RecNum&gt;131&lt;/RecNum&gt;&lt;DisplayText&gt;(12, 32)&lt;/DisplayText&gt;&lt;record&gt;&lt;rec-number&gt;131&lt;/rec-number&gt;&lt;foreign-keys&gt;&lt;key app="EN" db-id="rzddz9xtze9xz3erwto5zafcd5w22rsasxfx" timestamp="1723404956"&gt;131&lt;/key&gt;&lt;/foreign-keys&gt;&lt;ref-type name="Book"&gt;6&lt;/ref-type&gt;&lt;contributors&gt;&lt;authors&gt;&lt;author&gt;Johnson, Jeff&lt;/author&gt;&lt;/authors&gt;&lt;/contributors&gt;&lt;titles&gt;&lt;title&gt;Designing with the mind in mind: simple guide to understanding user interface design guidelines&lt;/title&gt;&lt;/titles&gt;&lt;dates&gt;&lt;year&gt;2020&lt;/year&gt;&lt;/dates&gt;&lt;publisher&gt;Morgan Kaufmann&lt;/publisher&gt;&lt;isbn&gt;0128182032&lt;/isbn&gt;&lt;urls&gt;&lt;/urls&gt;&lt;/record&gt;&lt;/Cite&gt;&lt;Cite&gt;&lt;Author&gt;Solove&lt;/Author&gt;&lt;Year&gt;2012&lt;/Year&gt;&lt;RecNum&gt;53&lt;/RecNum&gt;&lt;record&gt;&lt;rec-number&gt;53&lt;/rec-number&gt;&lt;foreign-keys&gt;&lt;key app="EN" db-id="rzddz9xtze9xz3erwto5zafcd5w22rsasxfx" timestamp="1718106849"&gt;53&lt;/key&gt;&lt;/foreign-keys&gt;&lt;ref-type name="Generic"&gt;13&lt;/ref-type&gt;&lt;contributors&gt;&lt;authors&gt;&lt;author&gt;Solove, Daniel J&lt;/author&gt;&lt;/authors&gt;&lt;/contributors&gt;&lt;titles&gt;&lt;title&gt;Nothing to hide: The false tradeoff between privacy abd security.&lt;/title&gt;&lt;/titles&gt;&lt;dates&gt;&lt;year&gt;2012&lt;/year&gt;&lt;/dates&gt;&lt;urls&gt;&lt;/urls&gt;&lt;/record&gt;&lt;/Cite&gt;&lt;/EndNote&gt;</w:instrText>
      </w:r>
      <w:r w:rsidR="003E6A24">
        <w:fldChar w:fldCharType="separate"/>
      </w:r>
      <w:r w:rsidR="004221BE">
        <w:rPr>
          <w:noProof/>
        </w:rPr>
        <w:t>(12, 32)</w:t>
      </w:r>
      <w:r w:rsidR="003E6A24">
        <w:fldChar w:fldCharType="end"/>
      </w:r>
      <w:r w:rsidRPr="00234ED2">
        <w:t xml:space="preserve">. By providing an interface that combines clarity with interactivity, the tool helps users overcome traditional barriers to ToS engagement, empowering them to make informed decisions about their digital interactions </w:t>
      </w:r>
      <w:r w:rsidR="003246CA">
        <w:fldChar w:fldCharType="begin"/>
      </w:r>
      <w:r w:rsidR="004221BE">
        <w:instrText xml:space="preserve"> ADDIN EN.CITE &lt;EndNote&gt;&lt;Cite&gt;&lt;Author&gt;Barth&lt;/Author&gt;&lt;Year&gt;2017&lt;/Year&gt;&lt;RecNum&gt;59&lt;/RecNum&gt;&lt;DisplayText&gt;(40, 41)&lt;/DisplayText&gt;&lt;record&gt;&lt;rec-number&gt;59&lt;/rec-number&gt;&lt;foreign-keys&gt;&lt;key app="EN" db-id="rzddz9xtze9xz3erwto5zafcd5w22rsasxfx" timestamp="1718107995"&gt;59&lt;/key&gt;&lt;/foreign-keys&gt;&lt;ref-type name="Journal Article"&gt;17&lt;/ref-type&gt;&lt;contributors&gt;&lt;authors&gt;&lt;author&gt;Barth, Susanne&lt;/author&gt;&lt;author&gt;De Jong, Menno DT&lt;/author&gt;&lt;/authors&gt;&lt;/contributors&gt;&lt;titles&gt;&lt;title&gt;The privacy paradox–Investigating discrepancies between expressed privacy concerns and actual online behaviour–A systematic literature review&lt;/title&gt;&lt;secondary-title&gt;Telematics and informatics&lt;/secondary-title&gt;&lt;/titles&gt;&lt;periodical&gt;&lt;full-title&gt;Telematics and informatics&lt;/full-title&gt;&lt;/periodical&gt;&lt;pages&gt;1038-1058&lt;/pages&gt;&lt;volume&gt;34&lt;/volume&gt;&lt;number&gt;7&lt;/number&gt;&lt;dates&gt;&lt;year&gt;2017&lt;/year&gt;&lt;/dates&gt;&lt;isbn&gt;0736-5853&lt;/isbn&gt;&lt;urls&gt;&lt;/urls&gt;&lt;/record&gt;&lt;/Cite&gt;&lt;Cite&gt;&lt;Author&gt;Fisk&lt;/Author&gt;&lt;Year&gt;2020&lt;/Year&gt;&lt;RecNum&gt;79&lt;/RecNum&gt;&lt;record&gt;&lt;rec-number&gt;79&lt;/rec-number&gt;&lt;foreign-keys&gt;&lt;key app="EN" db-id="rzddz9xtze9xz3erwto5zafcd5w22rsasxfx" timestamp="1718119728"&gt;79&lt;/key&gt;&lt;/foreign-keys&gt;&lt;ref-type name="Book"&gt;6&lt;/ref-type&gt;&lt;contributors&gt;&lt;authors&gt;&lt;author&gt;Fisk, Arthur D&lt;/author&gt;&lt;author&gt;Czaja, Sara J&lt;/author&gt;&lt;author&gt;Rogers, Wendy A&lt;/author&gt;&lt;author&gt;Charness, Neil&lt;/author&gt;&lt;author&gt;Sharit, Joseph&lt;/author&gt;&lt;/authors&gt;&lt;/contributors&gt;&lt;titles&gt;&lt;title&gt;Designing for older adults: Principles and creative human factors approaches&lt;/title&gt;&lt;/titles&gt;&lt;dates&gt;&lt;year&gt;2020&lt;/year&gt;&lt;/dates&gt;&lt;publisher&gt;CRC press&lt;/publisher&gt;&lt;isbn&gt;1420080687&lt;/isbn&gt;&lt;urls&gt;&lt;/urls&gt;&lt;/record&gt;&lt;/Cite&gt;&lt;/EndNote&gt;</w:instrText>
      </w:r>
      <w:r w:rsidR="003246CA">
        <w:fldChar w:fldCharType="separate"/>
      </w:r>
      <w:r w:rsidR="004221BE">
        <w:rPr>
          <w:noProof/>
        </w:rPr>
        <w:t>(40, 41)</w:t>
      </w:r>
      <w:r w:rsidR="003246CA">
        <w:fldChar w:fldCharType="end"/>
      </w:r>
      <w:r w:rsidR="003246CA">
        <w:t>.</w:t>
      </w:r>
    </w:p>
    <w:p w14:paraId="51CC2898" w14:textId="3749DF3F" w:rsidR="00E95950" w:rsidRPr="00E95950" w:rsidRDefault="00234ED2" w:rsidP="00E95950">
      <w:pPr>
        <w:jc w:val="both"/>
      </w:pPr>
      <w:r w:rsidRPr="00234ED2">
        <w:t xml:space="preserve">These findings highlight the potential for AI-driven tools to contribute to broader goals of digital literacy and informed consent. As regulatory frameworks such as the General Data Protection Regulation (GDPR) increasingly </w:t>
      </w:r>
      <w:r w:rsidR="006F0D77">
        <w:t>emphasise</w:t>
      </w:r>
      <w:r w:rsidRPr="00234ED2">
        <w:t xml:space="preserve"> transparency and user understanding </w:t>
      </w:r>
      <w:r w:rsidR="00D6328E">
        <w:fldChar w:fldCharType="begin"/>
      </w:r>
      <w:r w:rsidR="004221BE">
        <w:instrText xml:space="preserve"> ADDIN EN.CITE &lt;EndNote&gt;&lt;Cite&gt;&lt;Author&gt;Voigt&lt;/Author&gt;&lt;Year&gt;2017&lt;/Year&gt;&lt;RecNum&gt;4&lt;/RecNum&gt;&lt;DisplayText&gt;(17)&lt;/DisplayText&gt;&lt;record&gt;&lt;rec-number&gt;4&lt;/rec-number&gt;&lt;foreign-keys&gt;&lt;key app="EN" db-id="rzddz9xtze9xz3erwto5zafcd5w22rsasxfx" timestamp="1715603379"&gt;4&lt;/key&gt;&lt;/foreign-keys&gt;&lt;ref-type name="Journal Article"&gt;17&lt;/ref-type&gt;&lt;contributors&gt;&lt;authors&gt;&lt;author&gt;Voigt, Paul&lt;/author&gt;&lt;author&gt;Von dem Bussche, Axel&lt;/author&gt;&lt;/authors&gt;&lt;/contributors&gt;&lt;titles&gt;&lt;title&gt;The EU General Data Protection Regulation (GDPR)&lt;/title&gt;&lt;secondary-title&gt;A Practical Guide, 1st Ed., Cham: Springer International Publishing&lt;/secondary-title&gt;&lt;/titles&gt;&lt;periodical&gt;&lt;full-title&gt;A Practical Guide, 1st Ed., Cham: Springer International Publishing&lt;/full-title&gt;&lt;/periodical&gt;&lt;pages&gt;10-5555&lt;/pages&gt;&lt;volume&gt;10&lt;/volume&gt;&lt;number&gt;3152676&lt;/number&gt;&lt;dates&gt;&lt;year&gt;2017&lt;/year&gt;&lt;/dates&gt;&lt;urls&gt;&lt;/urls&gt;&lt;/record&gt;&lt;/Cite&gt;&lt;/EndNote&gt;</w:instrText>
      </w:r>
      <w:r w:rsidR="00D6328E">
        <w:fldChar w:fldCharType="separate"/>
      </w:r>
      <w:r w:rsidR="004221BE">
        <w:rPr>
          <w:noProof/>
        </w:rPr>
        <w:t>(17)</w:t>
      </w:r>
      <w:r w:rsidR="00D6328E">
        <w:fldChar w:fldCharType="end"/>
      </w:r>
      <w:r w:rsidRPr="00234ED2">
        <w:t xml:space="preserve">, ToSSimplify </w:t>
      </w:r>
      <w:r w:rsidR="00CB7EDD">
        <w:t xml:space="preserve">tool </w:t>
      </w:r>
      <w:r w:rsidRPr="00234ED2">
        <w:t xml:space="preserve">can serve as </w:t>
      </w:r>
      <w:r w:rsidR="00CB7EDD">
        <w:t>a critical enabler</w:t>
      </w:r>
      <w:r w:rsidRPr="00234ED2">
        <w:t xml:space="preserve">, helping platforms achieve compliance while improving user experiences. The results of this study not only validate the effectiveness of ToSSimplify </w:t>
      </w:r>
      <w:r w:rsidR="00D73859">
        <w:t>and</w:t>
      </w:r>
      <w:r w:rsidRPr="00234ED2">
        <w:t xml:space="preserve"> underscore the need for continued innovation in the design and delivery of accessible legal content.</w:t>
      </w:r>
    </w:p>
    <w:p w14:paraId="203E3DD1" w14:textId="77777777" w:rsidR="00E95950" w:rsidRPr="00E95950" w:rsidRDefault="00E95950" w:rsidP="00E95950">
      <w:pPr>
        <w:jc w:val="both"/>
        <w:rPr>
          <w:b/>
          <w:bCs/>
        </w:rPr>
      </w:pPr>
      <w:r w:rsidRPr="00E95950">
        <w:rPr>
          <w:b/>
          <w:bCs/>
        </w:rPr>
        <w:t>Implications for Practice</w:t>
      </w:r>
    </w:p>
    <w:p w14:paraId="0ED6324D" w14:textId="4A49043B" w:rsidR="00E95950" w:rsidRPr="00E95950" w:rsidRDefault="00E95950" w:rsidP="00E95950">
      <w:pPr>
        <w:jc w:val="both"/>
      </w:pPr>
      <w:r w:rsidRPr="00E95950">
        <w:t xml:space="preserve">The study findings </w:t>
      </w:r>
      <w:r>
        <w:t>significantly impact</w:t>
      </w:r>
      <w:r w:rsidRPr="00E95950">
        <w:t xml:space="preserve"> policymakers, digital platform developers, and users. For policymakers, the results highlight the potential of AI-driven tools to </w:t>
      </w:r>
      <w:r>
        <w:t>operationalise</w:t>
      </w:r>
      <w:r w:rsidRPr="00E95950">
        <w:t xml:space="preserve"> the transparency and accessibility mandates outlined in regulations like the General Data Protection Regulation (GDPR). By integrating tools like ToSSimplify, platforms can move beyond mere compliance to actively empower users with comprehensible and actionable information. This shift represents a critical step toward fostering trust and accountability in the digital ecosystem.</w:t>
      </w:r>
    </w:p>
    <w:p w14:paraId="4A54705D" w14:textId="75E2B5AA" w:rsidR="00E95950" w:rsidRPr="00E95950" w:rsidRDefault="00E95950" w:rsidP="00E95950">
      <w:pPr>
        <w:jc w:val="both"/>
      </w:pPr>
      <w:r w:rsidRPr="00E95950">
        <w:t xml:space="preserve">For digital platform developers, the study provides a blueprint for incorporating user-friendly legal content into platform design. </w:t>
      </w:r>
      <w:r>
        <w:t>ToSSimplify’s</w:t>
      </w:r>
      <w:r w:rsidRPr="00E95950">
        <w:t xml:space="preserve"> success demonstrates the value of investing in NLP and </w:t>
      </w:r>
      <w:r>
        <w:t>user-centred</w:t>
      </w:r>
      <w:r w:rsidRPr="00E95950">
        <w:t xml:space="preserve"> design to enhance the usability of legal agreements. Developers should </w:t>
      </w:r>
      <w:r>
        <w:t>prioritise</w:t>
      </w:r>
      <w:r w:rsidRPr="00E95950">
        <w:t xml:space="preserve"> tools that adapt to the needs of diverse user populations, ensuring inclusivity and scalability.</w:t>
      </w:r>
    </w:p>
    <w:p w14:paraId="24678910" w14:textId="6274EB73" w:rsidR="00E95950" w:rsidRPr="00E95950" w:rsidRDefault="00E95950" w:rsidP="00E95950">
      <w:pPr>
        <w:jc w:val="both"/>
      </w:pPr>
      <w:r w:rsidRPr="00E95950">
        <w:t xml:space="preserve">End-users stand to benefit the most from tools like ToSSimplify. By reducing the cognitive burden associated with reading ToS agreements, such tools enable users to make informed decisions about their online interactions. This empowerment is particularly relevant in a digital age </w:t>
      </w:r>
      <w:r>
        <w:t>with</w:t>
      </w:r>
      <w:r w:rsidRPr="00E95950">
        <w:t xml:space="preserve"> increasing </w:t>
      </w:r>
      <w:r>
        <w:t>data privacy and security concerns</w:t>
      </w:r>
      <w:r w:rsidRPr="00E95950">
        <w:t>.</w:t>
      </w:r>
    </w:p>
    <w:p w14:paraId="725FDB23" w14:textId="77777777" w:rsidR="00E95950" w:rsidRPr="00E95950" w:rsidRDefault="00E95950" w:rsidP="003A21CD">
      <w:pPr>
        <w:pStyle w:val="Heading1"/>
      </w:pPr>
      <w:r w:rsidRPr="00E95950">
        <w:t>Conclusion</w:t>
      </w:r>
    </w:p>
    <w:p w14:paraId="6B2341BD" w14:textId="77777777" w:rsidR="009C77B8" w:rsidRPr="009C77B8" w:rsidRDefault="009C77B8" w:rsidP="009C77B8">
      <w:pPr>
        <w:jc w:val="both"/>
      </w:pPr>
      <w:r w:rsidRPr="009C77B8">
        <w:t>This study demonstrates the effectiveness of ToSSimplify in addressing longstanding challenges associated with Terms of Service (ToS) engagement. By leveraging artificial intelligence (AI) and natural language processing (NLP) to simplify and summarise complex legal texts, the tool empowers users to make informed decisions, enhances digital literacy, and fosters a more transparent digital ecosystem. The findings highlight significant improvements in user comprehension and engagement, validating the tool’s potential to bridge the gap between legal complexity and user accessibility.</w:t>
      </w:r>
    </w:p>
    <w:p w14:paraId="429DE96B" w14:textId="2CF87E3B" w:rsidR="009C77B8" w:rsidRPr="009C77B8" w:rsidRDefault="009C77B8" w:rsidP="009C77B8">
      <w:pPr>
        <w:jc w:val="both"/>
      </w:pPr>
      <w:r w:rsidRPr="009C77B8">
        <w:t xml:space="preserve">However, several limitations should be acknowledged. The use of convenience sampling, while practical, may limit the generalizability of the results. The participant pool, though diverse, may not fully represent the broader population of online users, particularly those in non-English-speaking regions. Additionally, usability testing was conducted in a controlled environment, which might not fully capture the dynamics of real-world interactions. Factors such as multitasking or time constraints could influence user behaviour in everyday contexts. Furthermore, this study focused primarily on user comprehension and engagement, leaving </w:t>
      </w:r>
      <w:r w:rsidR="009B5BBA">
        <w:t>unanswered questions about the tool’s legal accuracy and seamless integration with live platforms</w:t>
      </w:r>
      <w:r w:rsidRPr="009C77B8">
        <w:t>.</w:t>
      </w:r>
    </w:p>
    <w:p w14:paraId="3F108E28" w14:textId="3FC1D845" w:rsidR="009C77B8" w:rsidRPr="009C77B8" w:rsidRDefault="009C77B8" w:rsidP="009C77B8">
      <w:pPr>
        <w:jc w:val="both"/>
      </w:pPr>
      <w:r w:rsidRPr="009C77B8">
        <w:t xml:space="preserve">Building on these findings, future research should address these limitations by validating ToSSimplify across more diverse linguistic and cultural contexts to ensure scalability and inclusivity. Expanding the tool’s scope to support multilingual ToS agreements would be critical for its applicability in global markets. Longitudinal studies conducted in real-world settings are also essential to comprehensively evaluate the tool’s long-term impact, operational feasibility, and user acceptance. Moreover, </w:t>
      </w:r>
      <w:r w:rsidR="00D90E2F">
        <w:t>collaborating</w:t>
      </w:r>
      <w:r w:rsidRPr="009C77B8">
        <w:t xml:space="preserve"> with legal professionals during the development process could ensure </w:t>
      </w:r>
      <w:r w:rsidR="00D90E2F">
        <w:t xml:space="preserve">that </w:t>
      </w:r>
      <w:r w:rsidRPr="009C77B8">
        <w:t xml:space="preserve">the simplified content retains its legal integrity while </w:t>
      </w:r>
      <w:r w:rsidR="006F0D77">
        <w:t>maximising</w:t>
      </w:r>
      <w:r w:rsidRPr="009C77B8">
        <w:t xml:space="preserve"> user accessibility.</w:t>
      </w:r>
    </w:p>
    <w:p w14:paraId="792A57AA" w14:textId="4E4EDEB5" w:rsidR="009C77B8" w:rsidRPr="009C77B8" w:rsidRDefault="009C77B8" w:rsidP="009C77B8">
      <w:pPr>
        <w:jc w:val="both"/>
      </w:pPr>
      <w:r w:rsidRPr="009C77B8">
        <w:t xml:space="preserve">This study provides a strong foundation for future advancements, illustrating the transformative potential of AI in </w:t>
      </w:r>
      <w:r w:rsidR="006F0D77">
        <w:t>democratising</w:t>
      </w:r>
      <w:r w:rsidRPr="009C77B8">
        <w:t xml:space="preserve"> access to legal information. With continued refinement and expansion, tools like ToSSimplify could redefine how users interact with digital agreements, ensuring informed consent becomes a standard rather than an exception in the digital ecosystem. By addressing critical gaps in ToS comprehension and accessibility, such tools represent a significant step toward empowering users in online interactions and promoting greater transparency in digital platforms.</w:t>
      </w:r>
    </w:p>
    <w:p w14:paraId="29CA559B" w14:textId="06847E6D" w:rsidR="00C45563" w:rsidRDefault="00D90E2F" w:rsidP="00414603">
      <w:pPr>
        <w:pStyle w:val="Heading1"/>
      </w:pPr>
      <w:r>
        <w:t>REFERENCES</w:t>
      </w:r>
    </w:p>
    <w:p w14:paraId="39CA43A2" w14:textId="7A07F274" w:rsidR="00A3730E" w:rsidRPr="00A3730E" w:rsidRDefault="00C45563" w:rsidP="00A3730E">
      <w:pPr>
        <w:pStyle w:val="EndNoteBibliography"/>
        <w:spacing w:after="0"/>
      </w:pPr>
      <w:r>
        <w:fldChar w:fldCharType="begin"/>
      </w:r>
      <w:r>
        <w:instrText xml:space="preserve"> ADDIN EN.REFLIST </w:instrText>
      </w:r>
      <w:r>
        <w:fldChar w:fldCharType="separate"/>
      </w:r>
      <w:r w:rsidR="00A3730E" w:rsidRPr="00A3730E">
        <w:t>1.</w:t>
      </w:r>
      <w:r w:rsidR="00A3730E" w:rsidRPr="00A3730E">
        <w:tab/>
        <w:t xml:space="preserve">Robinson EP, Zhu Y. Beyond “I agree”: Users’ understanding of web site terms of service. Social </w:t>
      </w:r>
      <w:r w:rsidR="00414603">
        <w:tab/>
      </w:r>
      <w:r w:rsidR="00A3730E" w:rsidRPr="00A3730E">
        <w:t>media+ society. 2020;6(1):2056305119897321.</w:t>
      </w:r>
    </w:p>
    <w:p w14:paraId="19A1B06B" w14:textId="1DED3425" w:rsidR="00A3730E" w:rsidRPr="00A3730E" w:rsidRDefault="00A3730E" w:rsidP="00A3730E">
      <w:pPr>
        <w:pStyle w:val="EndNoteBibliography"/>
        <w:spacing w:after="0"/>
      </w:pPr>
      <w:r w:rsidRPr="00A3730E">
        <w:t>2.</w:t>
      </w:r>
      <w:r w:rsidRPr="00A3730E">
        <w:tab/>
        <w:t xml:space="preserve">Bakos Y, Marotta-Wurgler F, Trossen DR. Does anyone read the fine print? Consumer attention to </w:t>
      </w:r>
      <w:r w:rsidR="00414603">
        <w:tab/>
      </w:r>
      <w:r w:rsidRPr="00A3730E">
        <w:t>standard-form contracts. The Journal of Legal Studies. 2014;43(1):1-35.</w:t>
      </w:r>
    </w:p>
    <w:p w14:paraId="0932CE8A" w14:textId="77777777" w:rsidR="00A3730E" w:rsidRPr="00A3730E" w:rsidRDefault="00A3730E" w:rsidP="00A3730E">
      <w:pPr>
        <w:pStyle w:val="EndNoteBibliography"/>
        <w:spacing w:after="0"/>
      </w:pPr>
      <w:r w:rsidRPr="00A3730E">
        <w:t>3.</w:t>
      </w:r>
      <w:r w:rsidRPr="00A3730E">
        <w:tab/>
        <w:t>McDonald AM, Cranor LF. The cost of reading privacy policies. Isjlp. 2008;4:543.</w:t>
      </w:r>
    </w:p>
    <w:p w14:paraId="466D79C3" w14:textId="225D8D71" w:rsidR="00A3730E" w:rsidRPr="00A3730E" w:rsidRDefault="00A3730E" w:rsidP="00A3730E">
      <w:pPr>
        <w:pStyle w:val="EndNoteBibliography"/>
        <w:spacing w:after="0"/>
      </w:pPr>
      <w:r w:rsidRPr="00A3730E">
        <w:t>4.</w:t>
      </w:r>
      <w:r w:rsidRPr="00A3730E">
        <w:tab/>
        <w:t xml:space="preserve">Obar JA, Oeldorf-Hirsch A. The biggest lie on the internet: Ignoring the privacy policies and terms </w:t>
      </w:r>
      <w:r w:rsidR="00414603">
        <w:tab/>
      </w:r>
      <w:r w:rsidRPr="00A3730E">
        <w:t xml:space="preserve">of service policies of social networking services. Information, Communication &amp; Society. </w:t>
      </w:r>
      <w:r w:rsidR="00414603">
        <w:tab/>
      </w:r>
      <w:r w:rsidRPr="00A3730E">
        <w:t>2020;23(1):128-47.</w:t>
      </w:r>
    </w:p>
    <w:p w14:paraId="4CDD896C" w14:textId="632BC1FA" w:rsidR="00A3730E" w:rsidRPr="00A3730E" w:rsidRDefault="00A3730E" w:rsidP="00A3730E">
      <w:pPr>
        <w:pStyle w:val="EndNoteBibliography"/>
        <w:spacing w:after="0"/>
      </w:pPr>
      <w:r w:rsidRPr="00A3730E">
        <w:t>5.</w:t>
      </w:r>
      <w:r w:rsidRPr="00A3730E">
        <w:tab/>
        <w:t xml:space="preserve">Böhme R, Köpsell S, editors. Trained to accept? A field experiment on consent dialogs. Proceedings </w:t>
      </w:r>
      <w:r w:rsidR="00414603">
        <w:tab/>
      </w:r>
      <w:r w:rsidRPr="00A3730E">
        <w:t>of the SIGCHI conference on human factors in computing systems; 2010.</w:t>
      </w:r>
    </w:p>
    <w:p w14:paraId="6388DAC1" w14:textId="3232D540" w:rsidR="00A3730E" w:rsidRPr="00A3730E" w:rsidRDefault="00A3730E" w:rsidP="00A3730E">
      <w:pPr>
        <w:pStyle w:val="EndNoteBibliography"/>
        <w:spacing w:after="0"/>
      </w:pPr>
      <w:r w:rsidRPr="00A3730E">
        <w:t>6.</w:t>
      </w:r>
      <w:r w:rsidRPr="00A3730E">
        <w:tab/>
        <w:t xml:space="preserve">Luger E, Moran S, Rodden T, editors. Consent for all: revealing the hidden complexity of terms and </w:t>
      </w:r>
      <w:r w:rsidR="00414603">
        <w:tab/>
      </w:r>
      <w:r w:rsidRPr="00A3730E">
        <w:t>conditions. Proceedings of the SIGCHI conference on Human factors in computing systems; 2013.</w:t>
      </w:r>
    </w:p>
    <w:p w14:paraId="07890CD1" w14:textId="070D2933" w:rsidR="00A3730E" w:rsidRPr="00A3730E" w:rsidRDefault="00A3730E" w:rsidP="00A3730E">
      <w:pPr>
        <w:pStyle w:val="EndNoteBibliography"/>
        <w:spacing w:after="0"/>
      </w:pPr>
      <w:r w:rsidRPr="00A3730E">
        <w:t>7.</w:t>
      </w:r>
      <w:r w:rsidRPr="00A3730E">
        <w:tab/>
        <w:t xml:space="preserve">Reidenberg JR, Breaux T, Cranor LF, French B, Grannis A, Graves JT, et al. Disagreeable privacy </w:t>
      </w:r>
      <w:r w:rsidR="00414603">
        <w:tab/>
      </w:r>
      <w:r w:rsidRPr="00A3730E">
        <w:t xml:space="preserve">policies: Mismatches between meaning and </w:t>
      </w:r>
      <w:r w:rsidR="006F0D77">
        <w:t>users’</w:t>
      </w:r>
      <w:r w:rsidRPr="00A3730E">
        <w:t xml:space="preserve"> understanding. Berkeley Tech LJ. 2015;30:39.</w:t>
      </w:r>
    </w:p>
    <w:p w14:paraId="36BD73D4" w14:textId="55B38DA9" w:rsidR="00A3730E" w:rsidRPr="00A3730E" w:rsidRDefault="00A3730E" w:rsidP="00A3730E">
      <w:pPr>
        <w:pStyle w:val="EndNoteBibliography"/>
        <w:spacing w:after="0"/>
      </w:pPr>
      <w:r w:rsidRPr="00A3730E">
        <w:t>8.</w:t>
      </w:r>
      <w:r w:rsidRPr="00A3730E">
        <w:tab/>
        <w:t xml:space="preserve">Acquisti A, Brandimarte L, Loewenstein G. Privacy and human behaviour in the age of information. </w:t>
      </w:r>
      <w:r w:rsidR="00414603">
        <w:tab/>
      </w:r>
      <w:r w:rsidRPr="00A3730E">
        <w:t>Science. 2015;347(6221):509-14.</w:t>
      </w:r>
    </w:p>
    <w:p w14:paraId="3D2E9EC5" w14:textId="5D27AA0D" w:rsidR="00A3730E" w:rsidRPr="00A3730E" w:rsidRDefault="00A3730E" w:rsidP="00A3730E">
      <w:pPr>
        <w:pStyle w:val="EndNoteBibliography"/>
        <w:spacing w:after="0"/>
      </w:pPr>
      <w:r w:rsidRPr="00A3730E">
        <w:t>9.</w:t>
      </w:r>
      <w:r w:rsidRPr="00A3730E">
        <w:tab/>
        <w:t xml:space="preserve">Ben-Shahar O, Schneider CE. More than you wanted to know: The Failure of Mandated Disclosure: </w:t>
      </w:r>
      <w:r w:rsidR="00414603">
        <w:tab/>
      </w:r>
      <w:r w:rsidRPr="00A3730E">
        <w:t>Princeton University Press; 2014.</w:t>
      </w:r>
    </w:p>
    <w:p w14:paraId="78A0890F" w14:textId="347B2480" w:rsidR="00A3730E" w:rsidRPr="00A3730E" w:rsidRDefault="00A3730E" w:rsidP="00A3730E">
      <w:pPr>
        <w:pStyle w:val="EndNoteBibliography"/>
        <w:spacing w:after="0"/>
      </w:pPr>
      <w:r w:rsidRPr="00A3730E">
        <w:t>10.</w:t>
      </w:r>
      <w:r w:rsidRPr="00A3730E">
        <w:tab/>
        <w:t xml:space="preserve">Germ E. 6 Terrifying User Agreements </w:t>
      </w:r>
      <w:r w:rsidR="002B40D3">
        <w:t>You’ve</w:t>
      </w:r>
      <w:r w:rsidRPr="00A3730E">
        <w:t xml:space="preserve"> Probably Accepted: Cracked. com; 2012 [Available </w:t>
      </w:r>
      <w:r w:rsidR="009B5BBA">
        <w:tab/>
      </w:r>
      <w:r w:rsidRPr="00A3730E">
        <w:t>from:</w:t>
      </w:r>
      <w:r w:rsidRPr="00414603">
        <w:t>https://www.cracked.com/article_19683_6-terrifying-user-agreements-youve-probably-</w:t>
      </w:r>
      <w:r w:rsidR="009B5BBA" w:rsidRPr="00414603">
        <w:tab/>
      </w:r>
      <w:r w:rsidRPr="00414603">
        <w:t>accepted.html</w:t>
      </w:r>
      <w:r w:rsidRPr="00A3730E">
        <w:t>.</w:t>
      </w:r>
    </w:p>
    <w:p w14:paraId="5CB22D56" w14:textId="211B59B3" w:rsidR="00A3730E" w:rsidRPr="00A3730E" w:rsidRDefault="00A3730E" w:rsidP="00A3730E">
      <w:pPr>
        <w:pStyle w:val="EndNoteBibliography"/>
        <w:spacing w:after="0"/>
      </w:pPr>
      <w:r w:rsidRPr="00A3730E">
        <w:t>11.</w:t>
      </w:r>
      <w:r w:rsidRPr="00A3730E">
        <w:tab/>
        <w:t xml:space="preserve">Lutz C, Hoffmann CP, Bucher E, Fieseler C. The role of privacy concerns in the sharing economy. </w:t>
      </w:r>
      <w:r w:rsidR="009B5BBA">
        <w:tab/>
      </w:r>
      <w:r w:rsidRPr="00A3730E">
        <w:t>Information, Communication &amp; Society. 2018;21(10):1472-92.</w:t>
      </w:r>
    </w:p>
    <w:p w14:paraId="2D39A26C" w14:textId="77777777" w:rsidR="00A3730E" w:rsidRPr="00A3730E" w:rsidRDefault="00A3730E" w:rsidP="00A3730E">
      <w:pPr>
        <w:pStyle w:val="EndNoteBibliography"/>
        <w:spacing w:after="0"/>
      </w:pPr>
      <w:r w:rsidRPr="00A3730E">
        <w:t>12.</w:t>
      </w:r>
      <w:r w:rsidRPr="00A3730E">
        <w:tab/>
        <w:t>Solove DJ. Nothing to hide: The false tradeoff between privacy abd security. 2012.</w:t>
      </w:r>
    </w:p>
    <w:p w14:paraId="48459CB7" w14:textId="67F07D3D" w:rsidR="00A3730E" w:rsidRPr="00A3730E" w:rsidRDefault="00A3730E" w:rsidP="00A3730E">
      <w:pPr>
        <w:pStyle w:val="EndNoteBibliography"/>
        <w:spacing w:after="0"/>
      </w:pPr>
      <w:r w:rsidRPr="00A3730E">
        <w:t>13.</w:t>
      </w:r>
      <w:r w:rsidRPr="00A3730E">
        <w:tab/>
        <w:t xml:space="preserve">Plaut VC, Bartlett III RP. Blind consent? A social psychological investigation of non-readership of </w:t>
      </w:r>
      <w:r w:rsidR="009B5BBA">
        <w:tab/>
      </w:r>
      <w:r w:rsidRPr="00A3730E">
        <w:t>click-through agreements. Law and human behavior. 2012;36(4):293.</w:t>
      </w:r>
    </w:p>
    <w:p w14:paraId="7B36D6D8" w14:textId="100168BA" w:rsidR="00A3730E" w:rsidRPr="00A3730E" w:rsidRDefault="00A3730E" w:rsidP="00A3730E">
      <w:pPr>
        <w:pStyle w:val="EndNoteBibliography"/>
        <w:spacing w:after="0"/>
      </w:pPr>
      <w:r w:rsidRPr="00A3730E">
        <w:t>14.</w:t>
      </w:r>
      <w:r w:rsidRPr="00A3730E">
        <w:tab/>
        <w:t xml:space="preserve">Wiśniewska K, Pałka P. The impact of the Digital Content Directive on online platforms’ Terms of </w:t>
      </w:r>
      <w:r w:rsidR="009B5BBA">
        <w:tab/>
      </w:r>
      <w:r w:rsidRPr="00A3730E">
        <w:t>Service. Yearbook of European Law. 2023:yead004.</w:t>
      </w:r>
    </w:p>
    <w:p w14:paraId="1FC6F216" w14:textId="00F88863" w:rsidR="00A3730E" w:rsidRPr="00A3730E" w:rsidRDefault="00A3730E" w:rsidP="00A3730E">
      <w:pPr>
        <w:pStyle w:val="EndNoteBibliography"/>
        <w:spacing w:after="0"/>
      </w:pPr>
      <w:r w:rsidRPr="00A3730E">
        <w:t>15.</w:t>
      </w:r>
      <w:r w:rsidRPr="00A3730E">
        <w:tab/>
        <w:t xml:space="preserve">Hartzog W. Privacy's Blueprint: The Battle to Control the Design of New Technologies: Harvard </w:t>
      </w:r>
      <w:r w:rsidR="009B5BBA">
        <w:tab/>
      </w:r>
      <w:r w:rsidRPr="00A3730E">
        <w:t>University Press; 2018.</w:t>
      </w:r>
    </w:p>
    <w:p w14:paraId="338C3C69" w14:textId="41447621" w:rsidR="00A3730E" w:rsidRPr="00A3730E" w:rsidRDefault="00A3730E" w:rsidP="00A3730E">
      <w:pPr>
        <w:pStyle w:val="EndNoteBibliography"/>
        <w:spacing w:after="0"/>
      </w:pPr>
      <w:r w:rsidRPr="00A3730E">
        <w:t>16.</w:t>
      </w:r>
      <w:r w:rsidRPr="00A3730E">
        <w:tab/>
        <w:t xml:space="preserve">Marotta-Wurgler F, Chen DL. Does contract disclosure matter?[with comment]. Journal of </w:t>
      </w:r>
      <w:r w:rsidR="009B5BBA">
        <w:tab/>
      </w:r>
      <w:r w:rsidRPr="00A3730E">
        <w:t xml:space="preserve">Institutional and Theoretical Economics (JITE)/Zeitschrift für die gesamte Staatswissenschaft. </w:t>
      </w:r>
      <w:r w:rsidR="009B5BBA">
        <w:tab/>
      </w:r>
      <w:r w:rsidRPr="00A3730E">
        <w:t>2012:94-123.</w:t>
      </w:r>
    </w:p>
    <w:p w14:paraId="74415F06" w14:textId="7A74B42A" w:rsidR="00A3730E" w:rsidRPr="00A3730E" w:rsidRDefault="00A3730E" w:rsidP="00A3730E">
      <w:pPr>
        <w:pStyle w:val="EndNoteBibliography"/>
        <w:spacing w:after="0"/>
      </w:pPr>
      <w:r w:rsidRPr="00A3730E">
        <w:t>17.</w:t>
      </w:r>
      <w:r w:rsidRPr="00A3730E">
        <w:tab/>
        <w:t xml:space="preserve">Voigt P, Von dem Bussche A. The EU General Data Protection Regulation (GDPR). A Practical Guide, </w:t>
      </w:r>
      <w:r w:rsidR="009B5BBA">
        <w:tab/>
      </w:r>
      <w:r w:rsidRPr="00A3730E">
        <w:t>1st Ed, Cham: Springer International Publishing. 2017;10(3152676):10-5555.</w:t>
      </w:r>
    </w:p>
    <w:p w14:paraId="7DC0641F" w14:textId="6A30A9D7" w:rsidR="00A3730E" w:rsidRPr="00A3730E" w:rsidRDefault="00A3730E" w:rsidP="00A3730E">
      <w:pPr>
        <w:pStyle w:val="EndNoteBibliography"/>
        <w:spacing w:after="0"/>
      </w:pPr>
      <w:r w:rsidRPr="00A3730E">
        <w:t>18.</w:t>
      </w:r>
      <w:r w:rsidRPr="00A3730E">
        <w:tab/>
        <w:t xml:space="preserve">Madden M, Gilman M, Levy K, Marwick A. Privacy, poverty, and big data: A matrix of vulnerabilities </w:t>
      </w:r>
      <w:r w:rsidR="009B5BBA">
        <w:tab/>
      </w:r>
      <w:r w:rsidRPr="00A3730E">
        <w:t>for poor Americans. Wash UL Rev. 2017;95:53.</w:t>
      </w:r>
    </w:p>
    <w:p w14:paraId="35126E55" w14:textId="049C731B" w:rsidR="00A3730E" w:rsidRPr="00A3730E" w:rsidRDefault="00A3730E" w:rsidP="00A3730E">
      <w:pPr>
        <w:pStyle w:val="EndNoteBibliography"/>
        <w:spacing w:after="0"/>
      </w:pPr>
      <w:r w:rsidRPr="00A3730E">
        <w:t>19.</w:t>
      </w:r>
      <w:r w:rsidRPr="00A3730E">
        <w:tab/>
        <w:t xml:space="preserve">Belli L, Venturini J. Private ordering and the rise of terms of service as cyber-regulation. Belli, L &amp; </w:t>
      </w:r>
      <w:r w:rsidR="009B5BBA">
        <w:tab/>
      </w:r>
      <w:r w:rsidRPr="00A3730E">
        <w:t xml:space="preserve">Venturini, J(2016) Private Ordering and the Rise of Terms of Service as Cyber-Regulation Internet </w:t>
      </w:r>
      <w:r w:rsidR="009B5BBA">
        <w:tab/>
      </w:r>
      <w:r w:rsidRPr="00A3730E">
        <w:t>Policy Review. 2016;5(4).</w:t>
      </w:r>
    </w:p>
    <w:p w14:paraId="19A83209" w14:textId="77777777" w:rsidR="00A3730E" w:rsidRPr="00A3730E" w:rsidRDefault="00A3730E" w:rsidP="00A3730E">
      <w:pPr>
        <w:pStyle w:val="EndNoteBibliography"/>
        <w:spacing w:after="0"/>
      </w:pPr>
      <w:r w:rsidRPr="00A3730E">
        <w:t>20.</w:t>
      </w:r>
      <w:r w:rsidRPr="00A3730E">
        <w:tab/>
        <w:t>Solove DJ. Understanding privacy: Harvard university press; 2010.</w:t>
      </w:r>
    </w:p>
    <w:p w14:paraId="5412723E" w14:textId="1B004E03" w:rsidR="00A3730E" w:rsidRPr="00A3730E" w:rsidRDefault="00A3730E" w:rsidP="00A3730E">
      <w:pPr>
        <w:pStyle w:val="EndNoteBibliography"/>
        <w:spacing w:after="0"/>
      </w:pPr>
      <w:r w:rsidRPr="00A3730E">
        <w:t>21.</w:t>
      </w:r>
      <w:r w:rsidRPr="00A3730E">
        <w:tab/>
        <w:t xml:space="preserve">Guarino A, Lettieri N, Malandrino D, Zaccagnino R. A machine learning-based approach to identify </w:t>
      </w:r>
      <w:r w:rsidR="009B5BBA">
        <w:tab/>
      </w:r>
      <w:r w:rsidRPr="00A3730E">
        <w:t xml:space="preserve">unlawful practices in online terms of service: analysis, implementation and evaluation. Neural </w:t>
      </w:r>
      <w:r w:rsidR="009B5BBA">
        <w:tab/>
      </w:r>
      <w:r w:rsidRPr="00A3730E">
        <w:t>Computing and Applications. 2021;33(24):17569-87.</w:t>
      </w:r>
    </w:p>
    <w:p w14:paraId="6CE95783" w14:textId="16AC51C1" w:rsidR="00A3730E" w:rsidRPr="00A3730E" w:rsidRDefault="00A3730E" w:rsidP="00A3730E">
      <w:pPr>
        <w:pStyle w:val="EndNoteBibliography"/>
        <w:spacing w:after="0"/>
      </w:pPr>
      <w:r w:rsidRPr="00A3730E">
        <w:t>22.</w:t>
      </w:r>
      <w:r w:rsidRPr="00A3730E">
        <w:tab/>
        <w:t xml:space="preserve">Acquisti A, Grossklags J. Privacy and rationality in individual decision making. IEEE security &amp; </w:t>
      </w:r>
      <w:r w:rsidR="009B5BBA">
        <w:tab/>
      </w:r>
      <w:r w:rsidRPr="00A3730E">
        <w:t>privacy. 2005;3(1):26-33.</w:t>
      </w:r>
    </w:p>
    <w:p w14:paraId="5A24BFC4" w14:textId="540F6A4F" w:rsidR="00A3730E" w:rsidRPr="00A3730E" w:rsidRDefault="00A3730E" w:rsidP="00A3730E">
      <w:pPr>
        <w:pStyle w:val="EndNoteBibliography"/>
        <w:spacing w:after="0"/>
      </w:pPr>
      <w:r w:rsidRPr="00A3730E">
        <w:t>23.</w:t>
      </w:r>
      <w:r w:rsidRPr="00A3730E">
        <w:tab/>
        <w:t xml:space="preserve">Creswell JW. Mapping the field of mixed methods research. SAGE publications Sage CA: Los </w:t>
      </w:r>
      <w:r w:rsidR="009B5BBA">
        <w:tab/>
      </w:r>
      <w:r w:rsidRPr="00A3730E">
        <w:t>Angeles, CA; 2009. p. 95-108.</w:t>
      </w:r>
    </w:p>
    <w:p w14:paraId="2695A539" w14:textId="77777777" w:rsidR="00A3730E" w:rsidRPr="00A3730E" w:rsidRDefault="00A3730E" w:rsidP="00A3730E">
      <w:pPr>
        <w:pStyle w:val="EndNoteBibliography"/>
        <w:spacing w:after="0"/>
      </w:pPr>
      <w:r w:rsidRPr="00A3730E">
        <w:t>24.</w:t>
      </w:r>
      <w:r w:rsidRPr="00A3730E">
        <w:tab/>
        <w:t>Cochran WG. Sampling techniques: john wiley &amp; sons; 1977.</w:t>
      </w:r>
    </w:p>
    <w:p w14:paraId="7BE71D61" w14:textId="77777777" w:rsidR="00A3730E" w:rsidRPr="00A3730E" w:rsidRDefault="00A3730E" w:rsidP="00A3730E">
      <w:pPr>
        <w:pStyle w:val="EndNoteBibliography"/>
        <w:spacing w:after="0"/>
      </w:pPr>
      <w:r w:rsidRPr="00A3730E">
        <w:t>25.</w:t>
      </w:r>
      <w:r w:rsidRPr="00A3730E">
        <w:tab/>
        <w:t>Dumas JF, Redish JC. A practical guide to usability testing: Greenwood Publishing Group Inc.; 1993.</w:t>
      </w:r>
    </w:p>
    <w:p w14:paraId="7F011369" w14:textId="6E6E4079" w:rsidR="00A3730E" w:rsidRPr="00A3730E" w:rsidRDefault="00A3730E" w:rsidP="00A3730E">
      <w:pPr>
        <w:pStyle w:val="EndNoteBibliography"/>
        <w:spacing w:after="0"/>
      </w:pPr>
      <w:r w:rsidRPr="00A3730E">
        <w:t>26.</w:t>
      </w:r>
      <w:r w:rsidRPr="00A3730E">
        <w:tab/>
        <w:t xml:space="preserve">Dillman DA, Smyth JD, Christian LM. Internet, phone, mail, and mixed-mode surveys: The tailored </w:t>
      </w:r>
      <w:r w:rsidR="009B5BBA">
        <w:tab/>
      </w:r>
      <w:r w:rsidRPr="00A3730E">
        <w:t>design method: John Wiley &amp; Sons; 2014.</w:t>
      </w:r>
    </w:p>
    <w:p w14:paraId="651E2402" w14:textId="77777777" w:rsidR="00A3730E" w:rsidRPr="00A3730E" w:rsidRDefault="00A3730E" w:rsidP="00A3730E">
      <w:pPr>
        <w:pStyle w:val="EndNoteBibliography"/>
        <w:spacing w:after="0"/>
      </w:pPr>
      <w:r w:rsidRPr="00A3730E">
        <w:t>27.</w:t>
      </w:r>
      <w:r w:rsidRPr="00A3730E">
        <w:tab/>
        <w:t>Fowler Jr FJ. Survey research methods: Sage publications; 2013.</w:t>
      </w:r>
    </w:p>
    <w:p w14:paraId="695A7E54" w14:textId="77777777" w:rsidR="00A3730E" w:rsidRPr="00A3730E" w:rsidRDefault="00A3730E" w:rsidP="00A3730E">
      <w:pPr>
        <w:pStyle w:val="EndNoteBibliography"/>
        <w:spacing w:after="0"/>
      </w:pPr>
      <w:r w:rsidRPr="00A3730E">
        <w:t>28.</w:t>
      </w:r>
      <w:r w:rsidRPr="00A3730E">
        <w:tab/>
        <w:t>Mason J. Qualitative researching. 2017.</w:t>
      </w:r>
    </w:p>
    <w:p w14:paraId="3B8CE5BB" w14:textId="2FF6276A" w:rsidR="00A3730E" w:rsidRPr="00A3730E" w:rsidRDefault="00A3730E" w:rsidP="00A3730E">
      <w:pPr>
        <w:pStyle w:val="EndNoteBibliography"/>
        <w:spacing w:after="0"/>
      </w:pPr>
      <w:r w:rsidRPr="00A3730E">
        <w:t>29.</w:t>
      </w:r>
      <w:r w:rsidRPr="00A3730E">
        <w:tab/>
        <w:t xml:space="preserve">Lewis C. Using the" thinking-aloud" method in cognitive interface design: IBM TJ Watson Research </w:t>
      </w:r>
      <w:r w:rsidR="00414603">
        <w:tab/>
      </w:r>
      <w:r w:rsidRPr="00A3730E">
        <w:t>Center Yorktown Heights, NY; 1982.</w:t>
      </w:r>
    </w:p>
    <w:p w14:paraId="2A7B1CDD" w14:textId="77777777" w:rsidR="00A3730E" w:rsidRPr="00A3730E" w:rsidRDefault="00A3730E" w:rsidP="00A3730E">
      <w:pPr>
        <w:pStyle w:val="EndNoteBibliography"/>
        <w:spacing w:after="0"/>
      </w:pPr>
      <w:r w:rsidRPr="00A3730E">
        <w:t>30.</w:t>
      </w:r>
      <w:r w:rsidRPr="00A3730E">
        <w:tab/>
        <w:t>Nielsen J. Heuristic evaluation.  Usability inspection methods1994. p. 25-62.</w:t>
      </w:r>
    </w:p>
    <w:p w14:paraId="5BF464CE" w14:textId="1152DB49" w:rsidR="00A3730E" w:rsidRPr="00A3730E" w:rsidRDefault="00A3730E" w:rsidP="00A3730E">
      <w:pPr>
        <w:pStyle w:val="EndNoteBibliography"/>
        <w:spacing w:after="0"/>
      </w:pPr>
      <w:r w:rsidRPr="00A3730E">
        <w:t>31.</w:t>
      </w:r>
      <w:r w:rsidRPr="00A3730E">
        <w:tab/>
        <w:t xml:space="preserve">Rasnacis A, Berzisa S. Method for adaptation and implementation of agile project management </w:t>
      </w:r>
      <w:r w:rsidR="00414603">
        <w:tab/>
      </w:r>
      <w:r w:rsidRPr="00A3730E">
        <w:t>methodology. Procedia Computer Science. 2017;104:43-50.</w:t>
      </w:r>
    </w:p>
    <w:p w14:paraId="342BD93A" w14:textId="32B347D4" w:rsidR="00A3730E" w:rsidRPr="00A3730E" w:rsidRDefault="00A3730E" w:rsidP="00A3730E">
      <w:pPr>
        <w:pStyle w:val="EndNoteBibliography"/>
        <w:spacing w:after="0"/>
      </w:pPr>
      <w:r w:rsidRPr="00A3730E">
        <w:t>32.</w:t>
      </w:r>
      <w:r w:rsidRPr="00A3730E">
        <w:tab/>
        <w:t xml:space="preserve">Johnson J. Designing with the mind in mind: simple guide to understanding user interface design </w:t>
      </w:r>
      <w:r w:rsidR="00414603">
        <w:tab/>
      </w:r>
      <w:r w:rsidRPr="00A3730E">
        <w:t>guidelines: Morgan Kaufmann; 2020.</w:t>
      </w:r>
    </w:p>
    <w:p w14:paraId="5F6CACA0" w14:textId="77777777" w:rsidR="00A3730E" w:rsidRPr="00A3730E" w:rsidRDefault="00A3730E" w:rsidP="00A3730E">
      <w:pPr>
        <w:pStyle w:val="EndNoteBibliography"/>
        <w:spacing w:after="0"/>
      </w:pPr>
      <w:r w:rsidRPr="00A3730E">
        <w:t>33.</w:t>
      </w:r>
      <w:r w:rsidRPr="00A3730E">
        <w:tab/>
        <w:t>Denzin NK, Lincoln YS. The Sage handbook of qualitative research: sage; 2011.</w:t>
      </w:r>
    </w:p>
    <w:p w14:paraId="59B35BD4" w14:textId="38E5D7B2" w:rsidR="00A3730E" w:rsidRPr="00A3730E" w:rsidRDefault="00A3730E" w:rsidP="00A3730E">
      <w:pPr>
        <w:pStyle w:val="EndNoteBibliography"/>
        <w:spacing w:after="0"/>
      </w:pPr>
      <w:r w:rsidRPr="00A3730E">
        <w:t>34.</w:t>
      </w:r>
      <w:r w:rsidRPr="00A3730E">
        <w:tab/>
        <w:t xml:space="preserve">Nouwens M, Liccardi I, Veale M, Karger D, Kagal L, editors. Dark patterns after the GDPR: Scraping </w:t>
      </w:r>
      <w:r w:rsidR="00414603">
        <w:tab/>
      </w:r>
      <w:r w:rsidRPr="00A3730E">
        <w:t xml:space="preserve">consent pop-ups and demonstrating their influence. Proceedings of the 2020 CHI conference on </w:t>
      </w:r>
      <w:r w:rsidR="00414603">
        <w:tab/>
      </w:r>
      <w:r w:rsidRPr="00A3730E">
        <w:t>human factors in computing systems; 2020.</w:t>
      </w:r>
    </w:p>
    <w:p w14:paraId="67A302A2" w14:textId="182F6A77" w:rsidR="00A3730E" w:rsidRPr="00A3730E" w:rsidRDefault="00A3730E" w:rsidP="00A3730E">
      <w:pPr>
        <w:pStyle w:val="EndNoteBibliography"/>
        <w:spacing w:after="0"/>
      </w:pPr>
      <w:r w:rsidRPr="00A3730E">
        <w:t>35.</w:t>
      </w:r>
      <w:r w:rsidRPr="00A3730E">
        <w:tab/>
        <w:t xml:space="preserve">Fiesler C, Lampe C, Bruckman AS, editors. Reality and perception of copyright terms of service for </w:t>
      </w:r>
      <w:r w:rsidR="00414603">
        <w:tab/>
      </w:r>
      <w:r w:rsidRPr="00A3730E">
        <w:t xml:space="preserve">online content creation. Proceedings of the 19th ACM conference on computer-supported </w:t>
      </w:r>
      <w:r w:rsidR="00414603">
        <w:tab/>
      </w:r>
      <w:r w:rsidRPr="00A3730E">
        <w:t>cooperative work &amp; social computing; 2016.</w:t>
      </w:r>
    </w:p>
    <w:p w14:paraId="34FC2EDF" w14:textId="77777777" w:rsidR="00A3730E" w:rsidRPr="00A3730E" w:rsidRDefault="00A3730E" w:rsidP="00A3730E">
      <w:pPr>
        <w:pStyle w:val="EndNoteBibliography"/>
        <w:spacing w:after="0"/>
      </w:pPr>
      <w:r w:rsidRPr="00A3730E">
        <w:t>36.</w:t>
      </w:r>
      <w:r w:rsidRPr="00A3730E">
        <w:tab/>
        <w:t>Waldman AE. Privacy, notice, and design. Stan Tech L Rev. 2018;21:74.</w:t>
      </w:r>
    </w:p>
    <w:p w14:paraId="7274D597" w14:textId="6E141711" w:rsidR="00A3730E" w:rsidRPr="00A3730E" w:rsidRDefault="00A3730E" w:rsidP="00A3730E">
      <w:pPr>
        <w:pStyle w:val="EndNoteBibliography"/>
        <w:spacing w:after="0"/>
      </w:pPr>
      <w:r w:rsidRPr="00A3730E">
        <w:t>37.</w:t>
      </w:r>
      <w:r w:rsidRPr="00A3730E">
        <w:tab/>
        <w:t xml:space="preserve">Masur PK. How online privacy literacy supports self-data protection and self-determination in the </w:t>
      </w:r>
      <w:r w:rsidR="00414603">
        <w:tab/>
      </w:r>
      <w:r w:rsidRPr="00A3730E">
        <w:t>age of information. Media and Communication. 2020;8(2):258-69.</w:t>
      </w:r>
    </w:p>
    <w:p w14:paraId="11A3F15C" w14:textId="13C5DE17" w:rsidR="00A3730E" w:rsidRPr="00A3730E" w:rsidRDefault="00A3730E" w:rsidP="00A3730E">
      <w:pPr>
        <w:pStyle w:val="EndNoteBibliography"/>
        <w:spacing w:after="0"/>
      </w:pPr>
      <w:r w:rsidRPr="00A3730E">
        <w:t>38.</w:t>
      </w:r>
      <w:r w:rsidRPr="00A3730E">
        <w:tab/>
        <w:t xml:space="preserve">Kelley PG, Cranor LF, Sadeh N, editors. Privacy as part of the app decision-making process. </w:t>
      </w:r>
      <w:r w:rsidR="00414603">
        <w:tab/>
      </w:r>
      <w:r w:rsidRPr="00A3730E">
        <w:t>Proceedings of the SIGCHI conference on human factors in computing systems; 2013.</w:t>
      </w:r>
    </w:p>
    <w:p w14:paraId="11D5BEA9" w14:textId="77777777" w:rsidR="00A3730E" w:rsidRPr="00A3730E" w:rsidRDefault="00A3730E" w:rsidP="00A3730E">
      <w:pPr>
        <w:pStyle w:val="EndNoteBibliography"/>
        <w:spacing w:after="0"/>
      </w:pPr>
      <w:r w:rsidRPr="00A3730E">
        <w:t>39.</w:t>
      </w:r>
      <w:r w:rsidRPr="00A3730E">
        <w:tab/>
        <w:t>Nissenbaum H. A contextual approach to privacy online. Daedalus. 2011;140(4):32-48.</w:t>
      </w:r>
    </w:p>
    <w:p w14:paraId="2CFD788E" w14:textId="14506A77" w:rsidR="00A3730E" w:rsidRPr="00A3730E" w:rsidRDefault="00A3730E" w:rsidP="00A3730E">
      <w:pPr>
        <w:pStyle w:val="EndNoteBibliography"/>
        <w:spacing w:after="0"/>
      </w:pPr>
      <w:r w:rsidRPr="00A3730E">
        <w:t>40.</w:t>
      </w:r>
      <w:r w:rsidRPr="00A3730E">
        <w:tab/>
        <w:t xml:space="preserve">Barth S, De Jong MD. The privacy paradox–Investigating discrepancies between expressed privacy </w:t>
      </w:r>
      <w:r w:rsidR="00414603">
        <w:tab/>
      </w:r>
      <w:r w:rsidRPr="00A3730E">
        <w:t xml:space="preserve">concerns and actual online behaviour–A systematic literature review. Telematics and informatics. </w:t>
      </w:r>
      <w:r w:rsidR="00414603">
        <w:tab/>
      </w:r>
      <w:r w:rsidRPr="00A3730E">
        <w:t>2017;34(7):1038-58.</w:t>
      </w:r>
    </w:p>
    <w:p w14:paraId="6F8D611F" w14:textId="6C11193D" w:rsidR="00A3730E" w:rsidRPr="00A3730E" w:rsidRDefault="00A3730E" w:rsidP="00A3730E">
      <w:pPr>
        <w:pStyle w:val="EndNoteBibliography"/>
      </w:pPr>
      <w:r w:rsidRPr="00A3730E">
        <w:t>41.</w:t>
      </w:r>
      <w:r w:rsidRPr="00A3730E">
        <w:tab/>
        <w:t xml:space="preserve">Fisk AD, Czaja SJ, Rogers WA, Charness N, Sharit J. Designing for older adults: Principles and </w:t>
      </w:r>
      <w:r w:rsidR="00414603">
        <w:tab/>
      </w:r>
      <w:r w:rsidRPr="00A3730E">
        <w:t>creative human factors approaches: CRC press; 2020.</w:t>
      </w:r>
    </w:p>
    <w:p w14:paraId="0BE9EBCE" w14:textId="0355042A" w:rsidR="00F4297C" w:rsidRDefault="00C45563" w:rsidP="002C606A">
      <w:r>
        <w:fldChar w:fldCharType="end"/>
      </w:r>
    </w:p>
    <w:p/>
    <w:p>
      <w:r>
        <w:t>Results</w:t>
      </w:r>
    </w:p>
    <w:p/>
    <w:p>
      <w:r>
        <w:t>### Participant Characteristics</w:t>
      </w:r>
    </w:p>
    <w:p>
      <w:r>
        <w:t>From the survey, participants' ages averaged 29.9 ± 6.5 years, predominantly between 18 and 37 years (86%). Most had postgraduate qualifications (68.9%). Gender distribution was near-equal (51.8% male, 48.2% female). Table 1 provides a summary of demographics.</w:t>
      </w:r>
    </w:p>
    <w:p/>
    <w:p>
      <w:r>
        <w:t>#### Table 1: Participant Demographics</w:t>
      </w:r>
    </w:p>
    <w:p>
      <w:r>
        <w:t>[Insert Table D.1.1 from Dissertation]</w:t>
      </w:r>
    </w:p>
    <w:p/>
    <w:p>
      <w:r>
        <w:t>---</w:t>
      </w:r>
    </w:p>
    <w:p/>
    <w:p>
      <w:r>
        <w:t>### Quantitative Findings</w:t>
      </w:r>
    </w:p>
    <w:p/>
    <w:p>
      <w:r>
        <w:t>#### ToS Engagement</w:t>
      </w:r>
      <w:r>
        <w:rPr>
          <w:b/>
        </w:rPr>
        <w:br/>
        <w:t>Figure 1: Prevalence of ToS Reading</w:t>
        <w:br/>
      </w:r>
      <w:r>
        <w:t>Figure D.1.2: Prevalence of ToS Reading</w:t>
        <w:br/>
        <w:t>17% read consistently; 27% read sometimes; 55% never read.</w:t>
        <w:br/>
      </w:r>
    </w:p>
    <w:p>
      <w:r>
        <w:t>Only 17% of participants consistently read ToS agreements, 27% sometimes read, and 55% never read them (Figure 1). Key barriers included document length (64%) and complexity (58%).</w:t>
      </w:r>
    </w:p>
    <w:p/>
    <w:p>
      <w:r>
        <w:t>#### Figure 1: Prevalence of ToS Reading</w:t>
      </w:r>
    </w:p>
    <w:p>
      <w:r>
        <w:t>[Insert Figure D.1.2 from Dissertation]</w:t>
      </w:r>
    </w:p>
    <w:p/>
    <w:p>
      <w:r>
        <w:t>---</w:t>
      </w:r>
    </w:p>
    <w:p/>
    <w:p>
      <w:r>
        <w:t>### Demographic Influences</w:t>
      </w:r>
    </w:p>
    <w:p>
      <w:r>
        <w:t>Higher education levels correlated significantly with consistent ToS engagement (p = 0.002). Younger participants (18-27) were less likely to read ToS compared to those aged 38-47 (p &lt; 0.05). Ethnic group differences also influenced perceptions, with White participants more likely to value ToS reading.</w:t>
      </w:r>
    </w:p>
    <w:p/>
    <w:p>
      <w:r>
        <w:t>#### Table 2: Demographic Factors Impacting Engagement</w:t>
      </w:r>
    </w:p>
    <w:p>
      <w:r>
        <w:t>[Insert Table D.1.3]</w:t>
      </w:r>
    </w:p>
    <w:p/>
    <w:p>
      <w:r>
        <w:t>---</w:t>
      </w:r>
    </w:p>
    <w:p/>
    <w:p>
      <w:r>
        <w:t>### Usability Testing</w:t>
      </w:r>
    </w:p>
    <w:p>
      <w:r>
        <w:t>Participants reported improved comprehension after using ToSSimplify (19% to 81%). Successful task completion rates were 92%, with an average time of 2.8 minutes per task. Users expressed ease with summarised content but highlighted navigation issues (8% error rate).</w:t>
      </w:r>
    </w:p>
    <w:p/>
    <w:p>
      <w:r>
        <w:t>---</w:t>
      </w:r>
    </w:p>
    <w:p/>
    <w:p>
      <w:r>
        <w:t>### Qualitative Findings</w:t>
      </w:r>
    </w:p>
    <w:p>
      <w:r>
        <w:t>Thematic analysis identified three recurring themes:</w:t>
      </w:r>
    </w:p>
    <w:p/>
    <w:p>
      <w:r>
        <w:t>1. **Cognitive Overload**: "The summaries reduced the overwhelming feeling of legal jargon," said one participant.</w:t>
      </w:r>
    </w:p>
    <w:p>
      <w:r>
        <w:t>2. **Perceived Value**: Many participants noted greater confidence in understanding agreements. One remarked, "It felt like I finally knew what I was agreeing to."</w:t>
      </w:r>
    </w:p>
    <w:p>
      <w:r>
        <w:t>3. **Usability Challenges**: Users recommended adding clearer hyperlinks for easier navigation.</w:t>
      </w:r>
    </w:p>
    <w:p/>
    <w:p>
      <w:r>
        <w:t>---</w:t>
      </w:r>
    </w:p>
    <w:p/>
    <w:p>
      <w:r>
        <w:t>#### Recommendations for Visuals</w:t>
      </w:r>
    </w:p>
    <w:p>
      <w:r>
        <w:t>Figures such as the following effectively illustrate the findings:</w:t>
      </w:r>
    </w:p>
    <w:p>
      <w:r>
        <w:t>- **Figure D.1.4**: Frequency of reading ToS before acceptance.</w:t>
      </w:r>
    </w:p>
    <w:p>
      <w:r>
        <w:t>- **Figure D.1.6**: Impact of reading behavior on understanding.</w:t>
      </w:r>
    </w:p>
    <w:p/>
    <w:p>
      <w:r>
        <w:t>[Add relevant figures from dissertation.]</w:t>
      </w:r>
    </w:p>
    <w:sectPr w:rsidR="00F4297C" w:rsidSect="00866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2C43E2"/>
    <w:multiLevelType w:val="multilevel"/>
    <w:tmpl w:val="E2B0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ddz9xtze9xz3erwto5zafcd5w22rsasxfx&quot;&gt;Masters Dissertation&lt;record-ids&gt;&lt;item&gt;1&lt;/item&gt;&lt;item&gt;4&lt;/item&gt;&lt;item&gt;9&lt;/item&gt;&lt;item&gt;10&lt;/item&gt;&lt;item&gt;11&lt;/item&gt;&lt;item&gt;12&lt;/item&gt;&lt;item&gt;17&lt;/item&gt;&lt;item&gt;21&lt;/item&gt;&lt;item&gt;24&lt;/item&gt;&lt;item&gt;26&lt;/item&gt;&lt;item&gt;27&lt;/item&gt;&lt;item&gt;35&lt;/item&gt;&lt;item&gt;40&lt;/item&gt;&lt;item&gt;43&lt;/item&gt;&lt;item&gt;44&lt;/item&gt;&lt;item&gt;48&lt;/item&gt;&lt;item&gt;49&lt;/item&gt;&lt;item&gt;50&lt;/item&gt;&lt;item&gt;51&lt;/item&gt;&lt;item&gt;53&lt;/item&gt;&lt;item&gt;59&lt;/item&gt;&lt;item&gt;60&lt;/item&gt;&lt;item&gt;61&lt;/item&gt;&lt;item&gt;63&lt;/item&gt;&lt;item&gt;65&lt;/item&gt;&lt;item&gt;68&lt;/item&gt;&lt;item&gt;79&lt;/item&gt;&lt;item&gt;87&lt;/item&gt;&lt;item&gt;92&lt;/item&gt;&lt;item&gt;97&lt;/item&gt;&lt;item&gt;103&lt;/item&gt;&lt;item&gt;104&lt;/item&gt;&lt;item&gt;107&lt;/item&gt;&lt;item&gt;113&lt;/item&gt;&lt;item&gt;114&lt;/item&gt;&lt;item&gt;118&lt;/item&gt;&lt;item&gt;120&lt;/item&gt;&lt;item&gt;123&lt;/item&gt;&lt;item&gt;124&lt;/item&gt;&lt;item&gt;131&lt;/item&gt;&lt;item&gt;135&lt;/item&gt;&lt;/record-ids&gt;&lt;/item&gt;&lt;/Libraries&gt;"/>
  </w:docVars>
  <w:rsids>
    <w:rsidRoot w:val="003072D1"/>
    <w:rsid w:val="0000772B"/>
    <w:rsid w:val="0001534D"/>
    <w:rsid w:val="00025A14"/>
    <w:rsid w:val="00071590"/>
    <w:rsid w:val="0009602C"/>
    <w:rsid w:val="000F70FD"/>
    <w:rsid w:val="00102FE3"/>
    <w:rsid w:val="00123680"/>
    <w:rsid w:val="00130FF3"/>
    <w:rsid w:val="001359D0"/>
    <w:rsid w:val="001368E0"/>
    <w:rsid w:val="00162A30"/>
    <w:rsid w:val="001A7E19"/>
    <w:rsid w:val="002048B1"/>
    <w:rsid w:val="002235FC"/>
    <w:rsid w:val="00234ED2"/>
    <w:rsid w:val="00283B7A"/>
    <w:rsid w:val="00286E27"/>
    <w:rsid w:val="00294202"/>
    <w:rsid w:val="002B40D3"/>
    <w:rsid w:val="002C606A"/>
    <w:rsid w:val="002C79D8"/>
    <w:rsid w:val="002D64BF"/>
    <w:rsid w:val="002E63C9"/>
    <w:rsid w:val="003072D1"/>
    <w:rsid w:val="003246CA"/>
    <w:rsid w:val="0033510B"/>
    <w:rsid w:val="0035337E"/>
    <w:rsid w:val="0035359E"/>
    <w:rsid w:val="0036738B"/>
    <w:rsid w:val="00367E90"/>
    <w:rsid w:val="003A21CD"/>
    <w:rsid w:val="003B2558"/>
    <w:rsid w:val="003B469C"/>
    <w:rsid w:val="003E6A24"/>
    <w:rsid w:val="003F2C91"/>
    <w:rsid w:val="00414603"/>
    <w:rsid w:val="004221BE"/>
    <w:rsid w:val="0042665A"/>
    <w:rsid w:val="004B04DA"/>
    <w:rsid w:val="0051404C"/>
    <w:rsid w:val="0055362C"/>
    <w:rsid w:val="00596912"/>
    <w:rsid w:val="005C3FDD"/>
    <w:rsid w:val="005F2733"/>
    <w:rsid w:val="005F5CDA"/>
    <w:rsid w:val="005F7873"/>
    <w:rsid w:val="00657AE6"/>
    <w:rsid w:val="006602DD"/>
    <w:rsid w:val="006A348A"/>
    <w:rsid w:val="006A622A"/>
    <w:rsid w:val="006F0D77"/>
    <w:rsid w:val="00717DE3"/>
    <w:rsid w:val="00732347"/>
    <w:rsid w:val="00806FC2"/>
    <w:rsid w:val="00844C10"/>
    <w:rsid w:val="00845F34"/>
    <w:rsid w:val="00857AE0"/>
    <w:rsid w:val="0086642A"/>
    <w:rsid w:val="008F0551"/>
    <w:rsid w:val="008F5D18"/>
    <w:rsid w:val="0090143A"/>
    <w:rsid w:val="00911CC8"/>
    <w:rsid w:val="009347E8"/>
    <w:rsid w:val="00936AFF"/>
    <w:rsid w:val="00957B89"/>
    <w:rsid w:val="009B5BBA"/>
    <w:rsid w:val="009C77B8"/>
    <w:rsid w:val="009E41BF"/>
    <w:rsid w:val="00A3730E"/>
    <w:rsid w:val="00A75D16"/>
    <w:rsid w:val="00A941AA"/>
    <w:rsid w:val="00AA618C"/>
    <w:rsid w:val="00AC4225"/>
    <w:rsid w:val="00B0210B"/>
    <w:rsid w:val="00B2357F"/>
    <w:rsid w:val="00B37A45"/>
    <w:rsid w:val="00B61A97"/>
    <w:rsid w:val="00B644EF"/>
    <w:rsid w:val="00B72C5D"/>
    <w:rsid w:val="00B8706A"/>
    <w:rsid w:val="00BC0D16"/>
    <w:rsid w:val="00BD78BD"/>
    <w:rsid w:val="00C11262"/>
    <w:rsid w:val="00C16E21"/>
    <w:rsid w:val="00C17CB9"/>
    <w:rsid w:val="00C32D20"/>
    <w:rsid w:val="00C37264"/>
    <w:rsid w:val="00C45563"/>
    <w:rsid w:val="00C73CA0"/>
    <w:rsid w:val="00C753BA"/>
    <w:rsid w:val="00C868D2"/>
    <w:rsid w:val="00CB3F20"/>
    <w:rsid w:val="00CB5EAE"/>
    <w:rsid w:val="00CB7EDD"/>
    <w:rsid w:val="00D36734"/>
    <w:rsid w:val="00D36E59"/>
    <w:rsid w:val="00D6328E"/>
    <w:rsid w:val="00D73859"/>
    <w:rsid w:val="00D90E2F"/>
    <w:rsid w:val="00D9761D"/>
    <w:rsid w:val="00DA3DCF"/>
    <w:rsid w:val="00DE389E"/>
    <w:rsid w:val="00E01060"/>
    <w:rsid w:val="00E14CC9"/>
    <w:rsid w:val="00E30FF8"/>
    <w:rsid w:val="00E95950"/>
    <w:rsid w:val="00EF27D9"/>
    <w:rsid w:val="00F15CF3"/>
    <w:rsid w:val="00F4297C"/>
    <w:rsid w:val="00F578F8"/>
    <w:rsid w:val="00FC75AF"/>
    <w:rsid w:val="00FD0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6E7F9"/>
  <w15:chartTrackingRefBased/>
  <w15:docId w15:val="{C4DCFBD6-2F9F-4F26-9727-E4E3A195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2D1"/>
  </w:style>
  <w:style w:type="paragraph" w:styleId="Heading1">
    <w:name w:val="heading 1"/>
    <w:basedOn w:val="Normal"/>
    <w:next w:val="Normal"/>
    <w:link w:val="Heading1Char"/>
    <w:autoRedefine/>
    <w:uiPriority w:val="9"/>
    <w:qFormat/>
    <w:rsid w:val="003A21CD"/>
    <w:pPr>
      <w:keepNext/>
      <w:keepLines/>
      <w:spacing w:before="320" w:after="0" w:line="360" w:lineRule="auto"/>
      <w:outlineLvl w:val="0"/>
    </w:pPr>
    <w:rPr>
      <w:rFonts w:ascii="Calibri" w:eastAsiaTheme="majorEastAsia" w:hAnsi="Calibri" w:cstheme="majorBidi"/>
      <w:b/>
      <w:bCs/>
      <w:sz w:val="32"/>
      <w:szCs w:val="32"/>
    </w:rPr>
  </w:style>
  <w:style w:type="paragraph" w:styleId="Heading2">
    <w:name w:val="heading 2"/>
    <w:basedOn w:val="Normal"/>
    <w:next w:val="Normal"/>
    <w:link w:val="Heading2Char"/>
    <w:autoRedefine/>
    <w:uiPriority w:val="9"/>
    <w:unhideWhenUsed/>
    <w:qFormat/>
    <w:rsid w:val="00C868D2"/>
    <w:pPr>
      <w:keepNext/>
      <w:keepLines/>
      <w:spacing w:after="0" w:line="360" w:lineRule="auto"/>
      <w:outlineLvl w:val="1"/>
    </w:pPr>
    <w:rPr>
      <w:rFonts w:ascii="Times New Roman" w:eastAsiaTheme="majorEastAsia" w:hAnsi="Times New Roman" w:cstheme="majorBidi"/>
      <w:b/>
      <w:sz w:val="24"/>
      <w:szCs w:val="28"/>
    </w:rPr>
  </w:style>
  <w:style w:type="paragraph" w:styleId="Heading3">
    <w:name w:val="heading 3"/>
    <w:basedOn w:val="Normal"/>
    <w:next w:val="Normal"/>
    <w:link w:val="Heading3Char"/>
    <w:autoRedefine/>
    <w:uiPriority w:val="9"/>
    <w:unhideWhenUsed/>
    <w:qFormat/>
    <w:rsid w:val="00C868D2"/>
    <w:pPr>
      <w:keepNext/>
      <w:keepLines/>
      <w:spacing w:before="40" w:after="0" w:line="48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unhideWhenUsed/>
    <w:qFormat/>
    <w:rsid w:val="00EF27D9"/>
    <w:pPr>
      <w:keepNext/>
      <w:keepLines/>
      <w:spacing w:before="40" w:after="0" w:line="360" w:lineRule="auto"/>
      <w:outlineLvl w:val="3"/>
    </w:pPr>
    <w:rPr>
      <w:rFonts w:ascii="Times New Roman" w:eastAsiaTheme="majorEastAsia" w:hAnsi="Times New Roman" w:cstheme="majorBidi"/>
      <w:b/>
      <w: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8D2"/>
    <w:rPr>
      <w:rFonts w:ascii="Times New Roman" w:eastAsiaTheme="majorEastAsia" w:hAnsi="Times New Roman" w:cstheme="majorBidi"/>
      <w:b/>
      <w:sz w:val="24"/>
      <w:szCs w:val="28"/>
    </w:rPr>
  </w:style>
  <w:style w:type="character" w:customStyle="1" w:styleId="Heading1Char">
    <w:name w:val="Heading 1 Char"/>
    <w:basedOn w:val="DefaultParagraphFont"/>
    <w:link w:val="Heading1"/>
    <w:uiPriority w:val="9"/>
    <w:rsid w:val="003A21CD"/>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C868D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F27D9"/>
    <w:rPr>
      <w:rFonts w:ascii="Times New Roman" w:eastAsiaTheme="majorEastAsia" w:hAnsi="Times New Roman" w:cstheme="majorBidi"/>
      <w:b/>
      <w:i/>
      <w:iCs/>
      <w:sz w:val="24"/>
    </w:rPr>
  </w:style>
  <w:style w:type="character" w:styleId="Strong">
    <w:name w:val="Strong"/>
    <w:basedOn w:val="DefaultParagraphFont"/>
    <w:uiPriority w:val="22"/>
    <w:qFormat/>
    <w:rsid w:val="003072D1"/>
    <w:rPr>
      <w:b/>
      <w:bCs/>
    </w:rPr>
  </w:style>
  <w:style w:type="character" w:styleId="Emphasis">
    <w:name w:val="Emphasis"/>
    <w:basedOn w:val="DefaultParagraphFont"/>
    <w:uiPriority w:val="20"/>
    <w:qFormat/>
    <w:rsid w:val="003072D1"/>
    <w:rPr>
      <w:i/>
      <w:iCs/>
    </w:rPr>
  </w:style>
  <w:style w:type="paragraph" w:customStyle="1" w:styleId="EndNoteBibliographyTitle">
    <w:name w:val="EndNote Bibliography Title"/>
    <w:basedOn w:val="Normal"/>
    <w:link w:val="EndNoteBibliographyTitleChar"/>
    <w:rsid w:val="0007159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71590"/>
    <w:rPr>
      <w:rFonts w:ascii="Calibri" w:hAnsi="Calibri" w:cs="Calibri"/>
      <w:noProof/>
      <w:lang w:val="en-US"/>
    </w:rPr>
  </w:style>
  <w:style w:type="paragraph" w:customStyle="1" w:styleId="EndNoteBibliography">
    <w:name w:val="EndNote Bibliography"/>
    <w:basedOn w:val="Normal"/>
    <w:link w:val="EndNoteBibliographyChar"/>
    <w:rsid w:val="00071590"/>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071590"/>
    <w:rPr>
      <w:rFonts w:ascii="Calibri" w:hAnsi="Calibri" w:cs="Calibri"/>
      <w:noProof/>
      <w:lang w:val="en-US"/>
    </w:rPr>
  </w:style>
  <w:style w:type="character" w:styleId="Hyperlink">
    <w:name w:val="Hyperlink"/>
    <w:basedOn w:val="DefaultParagraphFont"/>
    <w:uiPriority w:val="99"/>
    <w:unhideWhenUsed/>
    <w:rsid w:val="00294202"/>
    <w:rPr>
      <w:color w:val="0563C1" w:themeColor="hyperlink"/>
      <w:u w:val="single"/>
    </w:rPr>
  </w:style>
  <w:style w:type="character" w:styleId="UnresolvedMention">
    <w:name w:val="Unresolved Mention"/>
    <w:basedOn w:val="DefaultParagraphFont"/>
    <w:uiPriority w:val="99"/>
    <w:semiHidden/>
    <w:unhideWhenUsed/>
    <w:rsid w:val="00294202"/>
    <w:rPr>
      <w:color w:val="605E5C"/>
      <w:shd w:val="clear" w:color="auto" w:fill="E1DFDD"/>
    </w:rPr>
  </w:style>
  <w:style w:type="table" w:styleId="TableGrid">
    <w:name w:val="Table Grid"/>
    <w:basedOn w:val="TableNormal"/>
    <w:uiPriority w:val="39"/>
    <w:rsid w:val="00025A1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7104">
      <w:bodyDiv w:val="1"/>
      <w:marLeft w:val="0"/>
      <w:marRight w:val="0"/>
      <w:marTop w:val="0"/>
      <w:marBottom w:val="0"/>
      <w:divBdr>
        <w:top w:val="none" w:sz="0" w:space="0" w:color="auto"/>
        <w:left w:val="none" w:sz="0" w:space="0" w:color="auto"/>
        <w:bottom w:val="none" w:sz="0" w:space="0" w:color="auto"/>
        <w:right w:val="none" w:sz="0" w:space="0" w:color="auto"/>
      </w:divBdr>
    </w:div>
    <w:div w:id="83697274">
      <w:bodyDiv w:val="1"/>
      <w:marLeft w:val="0"/>
      <w:marRight w:val="0"/>
      <w:marTop w:val="0"/>
      <w:marBottom w:val="0"/>
      <w:divBdr>
        <w:top w:val="none" w:sz="0" w:space="0" w:color="auto"/>
        <w:left w:val="none" w:sz="0" w:space="0" w:color="auto"/>
        <w:bottom w:val="none" w:sz="0" w:space="0" w:color="auto"/>
        <w:right w:val="none" w:sz="0" w:space="0" w:color="auto"/>
      </w:divBdr>
    </w:div>
    <w:div w:id="118500222">
      <w:bodyDiv w:val="1"/>
      <w:marLeft w:val="0"/>
      <w:marRight w:val="0"/>
      <w:marTop w:val="0"/>
      <w:marBottom w:val="0"/>
      <w:divBdr>
        <w:top w:val="none" w:sz="0" w:space="0" w:color="auto"/>
        <w:left w:val="none" w:sz="0" w:space="0" w:color="auto"/>
        <w:bottom w:val="none" w:sz="0" w:space="0" w:color="auto"/>
        <w:right w:val="none" w:sz="0" w:space="0" w:color="auto"/>
      </w:divBdr>
    </w:div>
    <w:div w:id="215699683">
      <w:bodyDiv w:val="1"/>
      <w:marLeft w:val="0"/>
      <w:marRight w:val="0"/>
      <w:marTop w:val="0"/>
      <w:marBottom w:val="0"/>
      <w:divBdr>
        <w:top w:val="none" w:sz="0" w:space="0" w:color="auto"/>
        <w:left w:val="none" w:sz="0" w:space="0" w:color="auto"/>
        <w:bottom w:val="none" w:sz="0" w:space="0" w:color="auto"/>
        <w:right w:val="none" w:sz="0" w:space="0" w:color="auto"/>
      </w:divBdr>
    </w:div>
    <w:div w:id="426968117">
      <w:bodyDiv w:val="1"/>
      <w:marLeft w:val="0"/>
      <w:marRight w:val="0"/>
      <w:marTop w:val="0"/>
      <w:marBottom w:val="0"/>
      <w:divBdr>
        <w:top w:val="none" w:sz="0" w:space="0" w:color="auto"/>
        <w:left w:val="none" w:sz="0" w:space="0" w:color="auto"/>
        <w:bottom w:val="none" w:sz="0" w:space="0" w:color="auto"/>
        <w:right w:val="none" w:sz="0" w:space="0" w:color="auto"/>
      </w:divBdr>
    </w:div>
    <w:div w:id="699362239">
      <w:bodyDiv w:val="1"/>
      <w:marLeft w:val="0"/>
      <w:marRight w:val="0"/>
      <w:marTop w:val="0"/>
      <w:marBottom w:val="0"/>
      <w:divBdr>
        <w:top w:val="none" w:sz="0" w:space="0" w:color="auto"/>
        <w:left w:val="none" w:sz="0" w:space="0" w:color="auto"/>
        <w:bottom w:val="none" w:sz="0" w:space="0" w:color="auto"/>
        <w:right w:val="none" w:sz="0" w:space="0" w:color="auto"/>
      </w:divBdr>
    </w:div>
    <w:div w:id="969625894">
      <w:bodyDiv w:val="1"/>
      <w:marLeft w:val="0"/>
      <w:marRight w:val="0"/>
      <w:marTop w:val="0"/>
      <w:marBottom w:val="0"/>
      <w:divBdr>
        <w:top w:val="none" w:sz="0" w:space="0" w:color="auto"/>
        <w:left w:val="none" w:sz="0" w:space="0" w:color="auto"/>
        <w:bottom w:val="none" w:sz="0" w:space="0" w:color="auto"/>
        <w:right w:val="none" w:sz="0" w:space="0" w:color="auto"/>
      </w:divBdr>
    </w:div>
    <w:div w:id="1391415042">
      <w:bodyDiv w:val="1"/>
      <w:marLeft w:val="0"/>
      <w:marRight w:val="0"/>
      <w:marTop w:val="0"/>
      <w:marBottom w:val="0"/>
      <w:divBdr>
        <w:top w:val="none" w:sz="0" w:space="0" w:color="auto"/>
        <w:left w:val="none" w:sz="0" w:space="0" w:color="auto"/>
        <w:bottom w:val="none" w:sz="0" w:space="0" w:color="auto"/>
        <w:right w:val="none" w:sz="0" w:space="0" w:color="auto"/>
      </w:divBdr>
    </w:div>
    <w:div w:id="1517694638">
      <w:bodyDiv w:val="1"/>
      <w:marLeft w:val="0"/>
      <w:marRight w:val="0"/>
      <w:marTop w:val="0"/>
      <w:marBottom w:val="0"/>
      <w:divBdr>
        <w:top w:val="none" w:sz="0" w:space="0" w:color="auto"/>
        <w:left w:val="none" w:sz="0" w:space="0" w:color="auto"/>
        <w:bottom w:val="none" w:sz="0" w:space="0" w:color="auto"/>
        <w:right w:val="none" w:sz="0" w:space="0" w:color="auto"/>
      </w:divBdr>
    </w:div>
    <w:div w:id="1794518438">
      <w:bodyDiv w:val="1"/>
      <w:marLeft w:val="0"/>
      <w:marRight w:val="0"/>
      <w:marTop w:val="0"/>
      <w:marBottom w:val="0"/>
      <w:divBdr>
        <w:top w:val="none" w:sz="0" w:space="0" w:color="auto"/>
        <w:left w:val="none" w:sz="0" w:space="0" w:color="auto"/>
        <w:bottom w:val="none" w:sz="0" w:space="0" w:color="auto"/>
        <w:right w:val="none" w:sz="0" w:space="0" w:color="auto"/>
      </w:divBdr>
    </w:div>
    <w:div w:id="210849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AIO\Documents\EDUCATION%20%20-%20UK\Masters\Bournemounth%20University\MSc%20IT\Dissertation\Dissertation\Main%20Dissertation\OneDrive\Dissertation%20Data%20and%20Analysis\Quantitative\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5"/>
          <c:dPt>
            <c:idx val="0"/>
            <c:bubble3D val="0"/>
            <c:spPr>
              <a:solidFill>
                <a:srgbClr val="00B050"/>
              </a:solidFill>
              <a:ln w="19050">
                <a:solidFill>
                  <a:srgbClr val="00B050"/>
                </a:solidFill>
              </a:ln>
              <a:effectLst/>
            </c:spPr>
            <c:extLst>
              <c:ext xmlns:c16="http://schemas.microsoft.com/office/drawing/2014/chart" uri="{C3380CC4-5D6E-409C-BE32-E72D297353CC}">
                <c16:uniqueId val="{00000001-DF95-481A-8E2C-E16D81BD9B88}"/>
              </c:ext>
            </c:extLst>
          </c:dPt>
          <c:dPt>
            <c:idx val="1"/>
            <c:bubble3D val="0"/>
            <c:spPr>
              <a:solidFill>
                <a:srgbClr val="0070C0"/>
              </a:solidFill>
              <a:ln w="19050">
                <a:solidFill>
                  <a:srgbClr val="0070C0"/>
                </a:solidFill>
              </a:ln>
              <a:effectLst/>
            </c:spPr>
            <c:extLst>
              <c:ext xmlns:c16="http://schemas.microsoft.com/office/drawing/2014/chart" uri="{C3380CC4-5D6E-409C-BE32-E72D297353CC}">
                <c16:uniqueId val="{00000003-DF95-481A-8E2C-E16D81BD9B88}"/>
              </c:ext>
            </c:extLst>
          </c:dPt>
          <c:dPt>
            <c:idx val="2"/>
            <c:bubble3D val="0"/>
            <c:spPr>
              <a:solidFill>
                <a:srgbClr val="C00000"/>
              </a:solidFill>
              <a:ln w="19050">
                <a:solidFill>
                  <a:srgbClr val="C00000"/>
                </a:solidFill>
              </a:ln>
              <a:effectLst/>
            </c:spPr>
            <c:extLst>
              <c:ext xmlns:c16="http://schemas.microsoft.com/office/drawing/2014/chart" uri="{C3380CC4-5D6E-409C-BE32-E72D297353CC}">
                <c16:uniqueId val="{00000005-DF95-481A-8E2C-E16D81BD9B88}"/>
              </c:ext>
            </c:extLst>
          </c:dPt>
          <c:dLbls>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Sheet1!$I$2:$I$4</c:f>
              <c:strCache>
                <c:ptCount val="3"/>
                <c:pt idx="0">
                  <c:v>Yes</c:v>
                </c:pt>
                <c:pt idx="1">
                  <c:v>Sometimes</c:v>
                </c:pt>
                <c:pt idx="2">
                  <c:v>No</c:v>
                </c:pt>
              </c:strCache>
            </c:strRef>
          </c:cat>
          <c:val>
            <c:numRef>
              <c:f>Sheet1!$J$2:$J$4</c:f>
              <c:numCache>
                <c:formatCode>0.0%</c:formatCode>
                <c:ptCount val="3"/>
                <c:pt idx="0">
                  <c:v>0.17879999999999999</c:v>
                </c:pt>
                <c:pt idx="1">
                  <c:v>0.26819999999999999</c:v>
                </c:pt>
                <c:pt idx="2">
                  <c:v>0.55289999999999995</c:v>
                </c:pt>
              </c:numCache>
            </c:numRef>
          </c:val>
          <c:extLst>
            <c:ext xmlns:c16="http://schemas.microsoft.com/office/drawing/2014/chart" uri="{C3380CC4-5D6E-409C-BE32-E72D297353CC}">
              <c16:uniqueId val="{00000006-DF95-481A-8E2C-E16D81BD9B8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mn-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46A05C-346D-4408-B553-27BFE2B10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10407</Words>
  <Characters>65461</Characters>
  <Application>Microsoft Office Word</Application>
  <DocSecurity>0</DocSecurity>
  <Lines>991</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96</cp:revision>
  <dcterms:created xsi:type="dcterms:W3CDTF">2024-12-15T16:12:00Z</dcterms:created>
  <dcterms:modified xsi:type="dcterms:W3CDTF">2024-12-15T17:58:00Z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8040a7ae-d7eb-4071-99c2-e5e468f3a342</vt:lpwstr>
  </property>
</Properties>
</file>