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24D"/>
          <w:sz w:val="68"/>
        </w:rPr>
        <w:t>QUALIA</w:t>
      </w:r>
    </w:p>
    <w:p>
      <w:pPr>
        <w:jc w:val="center"/>
      </w:pPr>
      <w:r>
        <w:rPr>
          <w:color w:val="2B5876"/>
          <w:sz w:val="36"/>
        </w:rPr>
        <w:t>AI-Native Qualitative Research Environment</w:t>
      </w:r>
    </w:p>
    <w:p>
      <w:pPr>
        <w:jc w:val="center"/>
      </w:pPr>
      <w:r>
        <w:rPr>
          <w:b/>
          <w:sz w:val="26"/>
        </w:rPr>
        <w:t>Detailed Project Specification</w:t>
      </w:r>
    </w:p>
    <w:p>
      <w:pPr>
        <w:jc w:val="center"/>
      </w:pPr>
      <w:r>
        <w:rPr>
          <w:i/>
        </w:rPr>
        <w:t>Working title. Architecture is model-agnostic and designed for Claude Code and Codex.</w:t>
      </w:r>
    </w:p>
    <w:p>
      <w:pPr>
        <w:spacing w:before="560"/>
        <w:jc w:val="center"/>
      </w:pPr>
      <w:r>
        <w:t>Version 0.1  |  October 2026</w:t>
      </w:r>
    </w:p>
    <w:tbl>
      <w:tblPr>
        <w:tblW w:type="auto" w:w="0"/>
        <w:jc w:val="center"/>
        <w:tblLayout w:type="fixed"/>
        <w:tblLook w:firstColumn="1" w:firstRow="1" w:lastColumn="0" w:lastRow="0" w:noHBand="0" w:noVBand="1" w:val="04A0"/>
      </w:tblPr>
      <w:tblGrid>
        <w:gridCol w:w="9792"/>
      </w:tblGrid>
      <w:tr>
        <w:tc>
          <w:tcPr>
            <w:tcW w:type="dxa" w:w="9504"/>
            <w:shd w:fill="EDF3F8"/>
            <w:vAlign w:val="center"/>
          </w:tcPr>
          <w:p>
            <w:pPr>
              <w:spacing w:after="40"/>
            </w:pPr>
            <w:r>
              <w:rPr>
                <w:b/>
                <w:color w:val="234765"/>
              </w:rPr>
              <w:t>Core principle</w:t>
            </w:r>
            <w:r>
              <w:br/>
              <w:t>Autonomous improvement of implementation; human control of methodology. The system may optimize how a coding scheme is executed, but it must not silently redefine the research question, conceptual framework, or meaning of codes.</w:t>
            </w:r>
          </w:p>
        </w:tc>
      </w:tr>
    </w:tbl>
    <w:p>
      <w:pPr>
        <w:spacing w:after="0"/>
      </w:pPr>
    </w:p>
    <w:p>
      <w:r>
        <w:br w:type="page"/>
      </w:r>
    </w:p>
    <w:p>
      <w:pPr>
        <w:pStyle w:val="Heading1"/>
      </w:pPr>
      <w:r>
        <w:t>1. Executive Summary</w:t>
      </w:r>
    </w:p>
    <w:p>
      <w:r>
        <w:t>Qualia is a local-first, AI-native qualitative research environment intended to combine the practical capabilities of software such as NVivo with a model-agnostic autonomous coding and self-improvement system. It is designed for researchers working with interviews, conversations, open-ended survey responses, focus groups, field notes, documents, and other unstructured text.</w:t>
      </w:r>
    </w:p>
    <w:p>
      <w:r>
        <w:t>The defining architectural decision is that the application does not depend on a single model provider or agent harness. Claude Code and OpenAI Codex are treated as interchangeable operators over the same repository-level protocol. Either can run the system, perform analysis, execute experiments, modify allowed components, and operate the self-improvement loop. A specialized classifier such as Jev can be enabled to make stable, structured coding cheaper and faster, but it is optional rather than foundational.</w:t>
      </w:r>
    </w:p>
    <w:p>
      <w:r>
        <w:t>The system separates qualitative methodology from machine implementation. Researchers define the research problem, approve the codebook, adjudicate conceptual changes, and retain authority over the interpretation of the data. Agents are allowed to improve prompts, classification schemas, routing logic, segmentation, confidence thresholds, and other implementation details against locked evaluation data. Improvements are accepted only when they outperform the current baseline under predefined metrics without causing regressions.</w:t>
      </w:r>
    </w:p>
    <w:tbl>
      <w:tblPr>
        <w:tblW w:type="auto" w:w="0"/>
        <w:jc w:val="center"/>
        <w:tblLayout w:type="fixed"/>
        <w:tblLook w:firstColumn="1" w:firstRow="1" w:lastColumn="0" w:lastRow="0" w:noHBand="0" w:noVBand="1" w:val="04A0"/>
      </w:tblPr>
      <w:tblGrid>
        <w:gridCol w:w="9792"/>
      </w:tblGrid>
      <w:tr>
        <w:tc>
          <w:tcPr>
            <w:tcW w:type="dxa" w:w="9504"/>
            <w:shd w:fill="EDF3F8"/>
            <w:vAlign w:val="center"/>
          </w:tcPr>
          <w:p>
            <w:pPr>
              <w:spacing w:after="40"/>
            </w:pPr>
            <w:r>
              <w:rPr>
                <w:b/>
                <w:color w:val="234765"/>
              </w:rPr>
              <w:t>Product thesis</w:t>
            </w:r>
            <w:r>
              <w:br/>
              <w:t>Qualitative research software should not merely contain an AI assistant. The coding engine, evidence model, audit trail, evaluation framework, and improvement loop should be designed around AI from the beginning while remaining inspectable and researcher-controlled.</w:t>
            </w:r>
          </w:p>
        </w:tc>
      </w:tr>
    </w:tbl>
    <w:p>
      <w:pPr>
        <w:spacing w:after="0"/>
      </w:pPr>
    </w:p>
    <w:p>
      <w:pPr>
        <w:pStyle w:val="Heading1"/>
      </w:pPr>
      <w:r>
        <w:t>2. Goals and Non-Goals</w:t>
      </w:r>
    </w:p>
    <w:p>
      <w:pPr>
        <w:pStyle w:val="Heading2"/>
      </w:pPr>
      <w:r>
        <w:t>2.1 Primary goals</w:t>
      </w:r>
    </w:p>
    <w:p>
      <w:pPr>
        <w:pStyle w:val="ListBullet"/>
      </w:pPr>
      <w:r>
        <w:t>Provide a complete workspace for qualitative research, including source management, coding, codebooks, cases, attributes, memos, annotations, queries, matrices, and visual analysis.</w:t>
      </w:r>
    </w:p>
    <w:p>
      <w:pPr>
        <w:pStyle w:val="ListBullet"/>
      </w:pPr>
      <w:r>
        <w:t>Support manual coding, AI-assisted coding, and automated bulk coding without making AI mandatory.</w:t>
      </w:r>
    </w:p>
    <w:p>
      <w:pPr>
        <w:pStyle w:val="ListBullet"/>
      </w:pPr>
      <w:r>
        <w:t>Run with either Claude Code or Codex as the main autonomous agent harness using a shared repository protocol.</w:t>
      </w:r>
    </w:p>
    <w:p>
      <w:pPr>
        <w:pStyle w:val="ListBullet"/>
      </w:pPr>
      <w:r>
        <w:t>Support an optional Jev or equivalent structured-classification backend for inexpensive, high-volume deductive coding.</w:t>
      </w:r>
    </w:p>
    <w:p>
      <w:pPr>
        <w:pStyle w:val="ListBullet"/>
      </w:pPr>
      <w:r>
        <w:t>Implement a Karpathy autoresearch-style loop that continuously proposes, evaluates, keeps, or reverts improvements to the coding implementation.</w:t>
      </w:r>
    </w:p>
    <w:p>
      <w:pPr>
        <w:pStyle w:val="ListBullet"/>
      </w:pPr>
      <w:r>
        <w:t>Maintain a complete provenance trail from every code assignment and analytic conclusion back to the exact source passage and system version that produced it.</w:t>
      </w:r>
    </w:p>
    <w:p>
      <w:pPr>
        <w:pStyle w:val="ListBullet"/>
      </w:pPr>
      <w:r>
        <w:t>Make local-first operation practical for sensitive research datasets while leaving room for optional external APIs.</w:t>
      </w:r>
    </w:p>
    <w:p>
      <w:pPr>
        <w:pStyle w:val="ListBullet"/>
      </w:pPr>
      <w:r>
        <w:t>Produce reproducible, exportable research outputs rather than opaque chatbot answers.</w:t>
      </w:r>
    </w:p>
    <w:p>
      <w:pPr>
        <w:pStyle w:val="Heading2"/>
      </w:pPr>
      <w:r>
        <w:t>2.2 Explicit non-goals</w:t>
      </w:r>
    </w:p>
    <w:p>
      <w:pPr>
        <w:pStyle w:val="ListBullet"/>
      </w:pPr>
      <w:r>
        <w:t>Reproduce every feature, legacy workflow, or obscure edge case in NVivo.</w:t>
      </w:r>
    </w:p>
    <w:p>
      <w:pPr>
        <w:pStyle w:val="ListBullet"/>
      </w:pPr>
      <w:r>
        <w:t>Allow an autonomous agent to redefine a research methodology without explicit researcher approval.</w:t>
      </w:r>
    </w:p>
    <w:p>
      <w:pPr>
        <w:pStyle w:val="ListBullet"/>
      </w:pPr>
      <w:r>
        <w:t>Treat model-generated labels as ground truth.</w:t>
      </w:r>
    </w:p>
    <w:p>
      <w:pPr>
        <w:pStyle w:val="ListBullet"/>
      </w:pPr>
      <w:r>
        <w:t>Hide uncertainty behind a single "AI confidence" number.</w:t>
      </w:r>
    </w:p>
    <w:p>
      <w:pPr>
        <w:pStyle w:val="ListBullet"/>
      </w:pPr>
      <w:r>
        <w:t>Couple project data or the improvement loop to one provider-specific API.</w:t>
      </w:r>
    </w:p>
    <w:p>
      <w:pPr>
        <w:pStyle w:val="ListBullet"/>
      </w:pPr>
      <w:r>
        <w:t>Use a vector database or distributed cloud stack by default when ordinary relational and analytical storage is sufficient.</w:t>
      </w:r>
    </w:p>
    <w:p>
      <w:pPr>
        <w:pStyle w:val="Heading1"/>
      </w:pPr>
      <w:r>
        <w:t>3. Intended Users and Research Workflows</w:t>
      </w:r>
    </w:p>
    <w:p>
      <w:r>
        <w:t>The initial target is researchers who perform transcript-heavy qualitative analysis and want better automation without losing methodological control. The system should also support mixed-methods projects where qualitative codes are compared with participant or case attributes.</w:t>
      </w:r>
    </w:p>
    <w:p>
      <w:pPr>
        <w:pStyle w:val="Heading2"/>
      </w:pPr>
      <w:r>
        <w:t>3.1 Representative users</w:t>
      </w:r>
    </w:p>
    <w:p>
      <w:pPr>
        <w:pStyle w:val="ListBullet"/>
      </w:pPr>
      <w:r>
        <w:t>Academic and applied qualitative researchers</w:t>
      </w:r>
    </w:p>
    <w:p>
      <w:pPr>
        <w:pStyle w:val="ListBullet"/>
      </w:pPr>
      <w:r>
        <w:t>UX and customer-research teams</w:t>
      </w:r>
    </w:p>
    <w:p>
      <w:pPr>
        <w:pStyle w:val="ListBullet"/>
      </w:pPr>
      <w:r>
        <w:t>Policy and program-evaluation teams</w:t>
      </w:r>
    </w:p>
    <w:p>
      <w:pPr>
        <w:pStyle w:val="ListBullet"/>
      </w:pPr>
      <w:r>
        <w:t>Social-science students and research assistants</w:t>
      </w:r>
    </w:p>
    <w:p>
      <w:pPr>
        <w:pStyle w:val="ListBullet"/>
      </w:pPr>
      <w:r>
        <w:t>Organizations analyzing support, consultation, or stakeholder conversations</w:t>
      </w:r>
    </w:p>
    <w:p>
      <w:pPr>
        <w:pStyle w:val="Heading2"/>
      </w:pPr>
      <w:r>
        <w:t>3.2 Representative end-to-end workflow</w:t>
      </w:r>
    </w:p>
    <w:p>
      <w:pPr>
        <w:pStyle w:val="ListNumber"/>
      </w:pPr>
      <w:r>
        <w:t>Create a project and import transcripts, conversations, documents, or tabular response data.</w:t>
      </w:r>
    </w:p>
    <w:p>
      <w:pPr>
        <w:pStyle w:val="ListNumber"/>
      </w:pPr>
      <w:r>
        <w:t>Define cases and participant attributes, or infer candidate cases from import metadata for researcher review.</w:t>
      </w:r>
    </w:p>
    <w:p>
      <w:pPr>
        <w:pStyle w:val="ListNumber"/>
      </w:pPr>
      <w:r>
        <w:t>Manually code a seed sample and/or ask an LLM to perform open coding and propose a draft codebook.</w:t>
      </w:r>
    </w:p>
    <w:p>
      <w:pPr>
        <w:pStyle w:val="ListNumber"/>
      </w:pPr>
      <w:r>
        <w:t>Refine definitions, inclusion criteria, exclusion criteria, examples, and hierarchical relationships.</w:t>
      </w:r>
    </w:p>
    <w:p>
      <w:pPr>
        <w:pStyle w:val="ListNumber"/>
      </w:pPr>
      <w:r>
        <w:t>Freeze a codebook version and run deductive coding over the wider corpus.</w:t>
      </w:r>
    </w:p>
    <w:p>
      <w:pPr>
        <w:pStyle w:val="ListNumber"/>
      </w:pPr>
      <w:r>
        <w:t>Route straightforward classifications to Jev or a low-cost LLM backend, and ambiguous cases to Claude/Codex or human review.</w:t>
      </w:r>
    </w:p>
    <w:p>
      <w:pPr>
        <w:pStyle w:val="ListNumber"/>
      </w:pPr>
      <w:r>
        <w:t>Inspect coding matrices, co-occurrence, participant comparisons, excerpts, memos, and model uncertainty.</w:t>
      </w:r>
    </w:p>
    <w:p>
      <w:pPr>
        <w:pStyle w:val="ListNumber"/>
      </w:pPr>
      <w:r>
        <w:t>Correct errors. Corrections enter a structured feedback pool rather than silently rewriting evaluation data.</w:t>
      </w:r>
    </w:p>
    <w:p>
      <w:pPr>
        <w:pStyle w:val="ListNumber"/>
      </w:pPr>
      <w:r>
        <w:t>Run the self-improvement loop to improve implementation against a locked benchmark.</w:t>
      </w:r>
    </w:p>
    <w:p>
      <w:pPr>
        <w:pStyle w:val="ListNumber"/>
      </w:pPr>
      <w:r>
        <w:t>Export coded data, codebooks, matrices, evidence-backed summaries, and an audit report.</w:t>
      </w:r>
    </w:p>
    <w:p>
      <w:pPr>
        <w:pStyle w:val="Heading1"/>
      </w:pPr>
      <w:r>
        <w:t>4. Core Design Principles</w:t>
      </w:r>
    </w:p>
    <w:p>
      <w:pPr>
        <w:pStyle w:val="Heading3"/>
      </w:pPr>
      <w:r>
        <w:t>Model-agnostic operation</w:t>
      </w:r>
    </w:p>
    <w:p>
      <w:r>
        <w:t>Claude Code and Codex must be able to operate the same project without separate logic. Provider-specific instructions may exist, but the canonical behavior lives in shared project documentation and executable commands.</w:t>
      </w:r>
    </w:p>
    <w:p>
      <w:pPr>
        <w:pStyle w:val="Heading3"/>
      </w:pPr>
      <w:r>
        <w:t>Methodology above automation</w:t>
      </w:r>
    </w:p>
    <w:p>
      <w:r>
        <w:t>The system distinguishes implementation changes from methodological changes. Implementation improvements can be autonomous; conceptual changes require approval.</w:t>
      </w:r>
    </w:p>
    <w:p>
      <w:pPr>
        <w:pStyle w:val="Heading3"/>
      </w:pPr>
      <w:r>
        <w:t>Evidence before prose</w:t>
      </w:r>
    </w:p>
    <w:p>
      <w:r>
        <w:t>Any analytic synthesis generated by an LLM should be able to resolve claims back to coded excerpts, source documents, cases, and codebook versions.</w:t>
      </w:r>
    </w:p>
    <w:p>
      <w:pPr>
        <w:pStyle w:val="Heading3"/>
      </w:pPr>
      <w:r>
        <w:t>Local first, external optional</w:t>
      </w:r>
    </w:p>
    <w:p>
      <w:r>
        <w:t>The application should function as a local research environment. External model APIs are capabilities that can be enabled, not prerequisites for opening or inspecting a project.</w:t>
      </w:r>
    </w:p>
    <w:p>
      <w:pPr>
        <w:pStyle w:val="Heading3"/>
      </w:pPr>
      <w:r>
        <w:t>Version everything that changes meaning</w:t>
      </w:r>
    </w:p>
    <w:p>
      <w:r>
        <w:t>Codebooks, prompts, schemas, routing policies, segmentation rules, model versions, and evaluations require version identifiers.</w:t>
      </w:r>
    </w:p>
    <w:p>
      <w:pPr>
        <w:pStyle w:val="Heading3"/>
      </w:pPr>
      <w:r>
        <w:t>Evaluation is immutable during an experiment</w:t>
      </w:r>
    </w:p>
    <w:p>
      <w:r>
        <w:t>An improvement agent cannot modify the benchmark, evaluator, or protected provenance layer while attempting to improve a score.</w:t>
      </w:r>
    </w:p>
    <w:p>
      <w:pPr>
        <w:pStyle w:val="Heading3"/>
      </w:pPr>
      <w:r>
        <w:t>Graceful degradation</w:t>
      </w:r>
    </w:p>
    <w:p>
      <w:r>
        <w:t>If Jev or a particular model is unavailable, the application should fall back to a general LLM or manual workflow rather than becoming unusable.</w:t>
      </w:r>
    </w:p>
    <w:p>
      <w:pPr>
        <w:pStyle w:val="Heading3"/>
      </w:pPr>
      <w:r>
        <w:t>Researcher-visible uncertainty</w:t>
      </w:r>
    </w:p>
    <w:p>
      <w:r>
        <w:t>The UI should surface disagreement, ambiguous excerpts, confidence/calibration, and changed code definitions rather than presenting all model outputs as equivalent.</w:t>
      </w:r>
    </w:p>
    <w:p>
      <w:pPr>
        <w:pStyle w:val="Heading1"/>
      </w:pPr>
      <w:r>
        <w:t>5. High-Level Architecture</w:t>
      </w:r>
    </w:p>
    <w:p>
      <w:pPr>
        <w:pStyle w:val="CodeBlock"/>
        <w:spacing w:before="80" w:after="160"/>
      </w:pPr>
      <w:r>
        <w:t>Desktop / Web UI (React + Tauri)</w:t>
        <w:br/>
        <w:t xml:space="preserve">        |</w:t>
        <w:br/>
        <w:t xml:space="preserve">        v</w:t>
        <w:br/>
        <w:t>Research Engine</w:t>
        <w:br/>
        <w:t xml:space="preserve">  |-- projects / sources / transcripts</w:t>
        <w:br/>
        <w:t xml:space="preserve">  |-- codebooks / coding / cases / attributes</w:t>
        <w:br/>
        <w:t xml:space="preserve">  |-- memos / annotations / queries / matrices</w:t>
        <w:br/>
        <w:t xml:space="preserve">  |-- provenance / exports</w:t>
        <w:br/>
        <w:t xml:space="preserve">        |</w:t>
        <w:br/>
        <w:t xml:space="preserve">        +--------------------------+</w:t>
        <w:br/>
        <w:t xml:space="preserve">        |                          |</w:t>
        <w:br/>
        <w:t xml:space="preserve">        v                          v</w:t>
        <w:br/>
        <w:t>Storage Layer                 AI Orchestration Layer</w:t>
        <w:br/>
        <w:t>SQLite + DuckDB              shared agent protocol</w:t>
        <w:br/>
        <w:t xml:space="preserve">                                   |</w:t>
        <w:br/>
        <w:t xml:space="preserve">                     +-------------+-------------+</w:t>
        <w:br/>
        <w:t xml:space="preserve">                     |                           |</w:t>
        <w:br/>
        <w:t xml:space="preserve">                     v                           v</w:t>
        <w:br/>
        <w:t xml:space="preserve">               Claude Code                    Codex</w:t>
        <w:br/>
        <w:t xml:space="preserve">                     |                           |</w:t>
        <w:br/>
        <w:t xml:space="preserve">                     +-------------+-------------+</w:t>
        <w:br/>
        <w:t xml:space="preserve">                                   |</w:t>
        <w:br/>
        <w:t xml:space="preserve">                         Classification Backends</w:t>
        <w:br/>
        <w:t xml:space="preserve">                     general LLM | Jev | rules</w:t>
        <w:br/>
        <w:t xml:space="preserve">                                   |</w:t>
        <w:br/>
        <w:t xml:space="preserve">                                   v</w:t>
        <w:br/>
        <w:t xml:space="preserve">                           Evaluation Engine</w:t>
        <w:br/>
        <w:t xml:space="preserve">                                   |</w:t>
        <w:br/>
        <w:t xml:space="preserve">                                   v</w:t>
        <w:br/>
        <w:t xml:space="preserve">                         Self-Improvement Loop</w:t>
      </w:r>
    </w:p>
    <w:p>
      <w:pPr>
        <w:pStyle w:val="Heading2"/>
      </w:pPr>
      <w:r>
        <w:t>5.1 Application layer</w:t>
      </w:r>
    </w:p>
    <w:p>
      <w:r>
        <w:t>The user-facing application should provide a conventional qualitative-research workspace rather than exposing the repository directly. Tauri is a strong initial choice because it can package a React interface as a desktop application while retaining access to local files and a local execution environment. The research engine remains separate from the presentation layer so a web interface can be added later if desired.</w:t>
      </w:r>
    </w:p>
    <w:p>
      <w:pPr>
        <w:pStyle w:val="Heading2"/>
      </w:pPr>
      <w:r>
        <w:t>5.2 Research engine</w:t>
      </w:r>
    </w:p>
    <w:p>
      <w:r>
        <w:t>The research engine is the stable domain layer. It is responsible for sources, excerpts, codes, coding events, cases, attributes, memos, query execution, and provenance. It should not depend on Claude- or OpenAI-specific SDK objects. Its public functions should be callable from the UI, command line, tests, or autonomous agents.</w:t>
      </w:r>
    </w:p>
    <w:p>
      <w:pPr>
        <w:pStyle w:val="Heading2"/>
      </w:pPr>
      <w:r>
        <w:t>5.3 Storage layer</w:t>
      </w:r>
    </w:p>
    <w:p>
      <w:r>
        <w:t>SQLite should hold transactional project state and provenance. DuckDB can handle analytical queries, matrices, aggregations, and large tabular exports. This combination keeps deployment simple while providing strong local analytical performance. Vector search may be added later behind an interface if semantic retrieval proves necessary.</w:t>
      </w:r>
    </w:p>
    <w:p>
      <w:pPr>
        <w:pStyle w:val="Heading1"/>
      </w:pPr>
      <w:r>
        <w:t>6. Claude Code and Codex Compatibility</w:t>
      </w:r>
    </w:p>
    <w:p>
      <w:r>
        <w:t>The project must be usable with either Claude Code or Codex without changing the underlying research logic. The agent harness is an operator, not the application architecture.</w:t>
      </w:r>
    </w:p>
    <w:p>
      <w:pPr>
        <w:pStyle w:val="Heading2"/>
      </w:pPr>
      <w:r>
        <w:t>6.1 Canonical agent protocol</w:t>
      </w:r>
    </w:p>
    <w:p>
      <w:pPr>
        <w:pStyle w:val="CodeBlock"/>
        <w:spacing w:before="80" w:after="160"/>
      </w:pPr>
      <w:r>
        <w:t>/AGENTS.md              # brief entrypoint for Codex and other agents</w:t>
        <w:br/>
        <w:t>/CLAUDE.md              # brief entrypoint for Claude Code</w:t>
        <w:br/>
        <w:t>/docs/AGENT_PROTOCOL.md # canonical shared operating contract</w:t>
        <w:br/>
        <w:t>/docs/IMPROVEMENT.md    # rules for the autoresearch loop</w:t>
        <w:br/>
        <w:t>/docs/METHODOLOGY.md    # researcher-owned methodological constraints</w:t>
        <w:br/>
        <w:br/>
        <w:t>./qualia open</w:t>
        <w:br/>
        <w:t>./qualia import ...</w:t>
        <w:br/>
        <w:t>./qualia code ...</w:t>
        <w:br/>
        <w:t>./qualia evaluate</w:t>
        <w:br/>
        <w:t>./qualia experiment</w:t>
        <w:br/>
        <w:t>./qualia improve --agent claude</w:t>
        <w:br/>
        <w:t>./qualia improve --agent codex</w:t>
      </w:r>
    </w:p>
    <w:p>
      <w:r>
        <w:t>CLAUDE.md and AGENTS.md should remain thin compatibility layers. They may contain harness-specific usage notes, but must point to the same canonical protocol. This prevents the Claude and Codex versions from drifting into different products.</w:t>
      </w:r>
    </w:p>
    <w:p>
      <w:pPr>
        <w:pStyle w:val="Heading2"/>
      </w:pPr>
      <w:r>
        <w:t>6.2 Agent contract</w:t>
      </w:r>
    </w:p>
    <w:p>
      <w:pPr>
        <w:pStyle w:val="ListBullet"/>
      </w:pPr>
      <w:r>
        <w:t>Read project files and current experiment state.</w:t>
      </w:r>
    </w:p>
    <w:p>
      <w:pPr>
        <w:pStyle w:val="ListBullet"/>
      </w:pPr>
      <w:r>
        <w:t>Run documented commands and automated tests.</w:t>
      </w:r>
    </w:p>
    <w:p>
      <w:pPr>
        <w:pStyle w:val="ListBullet"/>
      </w:pPr>
      <w:r>
        <w:t>Modify only files inside explicitly mutable scopes.</w:t>
      </w:r>
    </w:p>
    <w:p>
      <w:pPr>
        <w:pStyle w:val="ListBullet"/>
      </w:pPr>
      <w:r>
        <w:t>Record a hypothesis before making an experimental change.</w:t>
      </w:r>
    </w:p>
    <w:p>
      <w:pPr>
        <w:pStyle w:val="ListBullet"/>
      </w:pPr>
      <w:r>
        <w:t>Run the fixed evaluation suite after the change.</w:t>
      </w:r>
    </w:p>
    <w:p>
      <w:pPr>
        <w:pStyle w:val="ListBullet"/>
      </w:pPr>
      <w:r>
        <w:t>Keep a change only when acceptance criteria are satisfied.</w:t>
      </w:r>
    </w:p>
    <w:p>
      <w:pPr>
        <w:pStyle w:val="ListBullet"/>
      </w:pPr>
      <w:r>
        <w:t>Revert failed or regressive experiments cleanly.</w:t>
      </w:r>
    </w:p>
    <w:p>
      <w:pPr>
        <w:pStyle w:val="ListBullet"/>
      </w:pPr>
      <w:r>
        <w:t>Write an experiment record describing the hypothesis, modification, result, and decision.</w:t>
      </w:r>
    </w:p>
    <w:p>
      <w:pPr>
        <w:pStyle w:val="ListBullet"/>
      </w:pPr>
      <w:r>
        <w:t>Never modify protected evaluation data or provenance rules as part of an optimization attempt.</w:t>
      </w:r>
    </w:p>
    <w:p>
      <w:pPr>
        <w:pStyle w:val="Heading1"/>
      </w:pPr>
      <w:r>
        <w:t>7. Qualitative Research Capabilities</w:t>
      </w:r>
    </w:p>
    <w:p>
      <w:r>
        <w:t>The application should target the subset of NVivo-style functionality that matters most for ordinary transcript and document analysis, then extend it with stronger AI and evaluation capabilities.</w:t>
      </w:r>
    </w:p>
    <w:p>
      <w:pPr>
        <w:pStyle w:val="Heading3"/>
      </w:pPr>
      <w:r>
        <w:t>Project and source management</w:t>
      </w:r>
    </w:p>
    <w:p>
      <w:pPr>
        <w:pStyle w:val="ListBullet"/>
      </w:pPr>
      <w:r>
        <w:t>Projects and project metadata</w:t>
      </w:r>
    </w:p>
    <w:p>
      <w:pPr>
        <w:pStyle w:val="ListBullet"/>
      </w:pPr>
      <w:r>
        <w:t>Import TXT, Markdown, DOCX, PDF text, CSV/JSON conversation exports, and transcript formats</w:t>
      </w:r>
    </w:p>
    <w:p>
      <w:pPr>
        <w:pStyle w:val="ListBullet"/>
      </w:pPr>
      <w:r>
        <w:t>Source folders and collections</w:t>
      </w:r>
    </w:p>
    <w:p>
      <w:pPr>
        <w:pStyle w:val="ListBullet"/>
      </w:pPr>
      <w:r>
        <w:t>Document metadata and tags</w:t>
      </w:r>
    </w:p>
    <w:p>
      <w:pPr>
        <w:pStyle w:val="ListBullet"/>
      </w:pPr>
      <w:r>
        <w:t>Source-level notes and status</w:t>
      </w:r>
    </w:p>
    <w:p>
      <w:pPr>
        <w:pStyle w:val="Heading3"/>
      </w:pPr>
      <w:r>
        <w:t>Coding and codebooks</w:t>
      </w:r>
    </w:p>
    <w:p>
      <w:pPr>
        <w:pStyle w:val="ListBullet"/>
      </w:pPr>
      <w:r>
        <w:t>Hierarchical codes and themes</w:t>
      </w:r>
    </w:p>
    <w:p>
      <w:pPr>
        <w:pStyle w:val="ListBullet"/>
      </w:pPr>
      <w:r>
        <w:t>Manual text-span coding</w:t>
      </w:r>
    </w:p>
    <w:p>
      <w:pPr>
        <w:pStyle w:val="ListBullet"/>
      </w:pPr>
      <w:r>
        <w:t>Multiple codes per passage</w:t>
      </w:r>
    </w:p>
    <w:p>
      <w:pPr>
        <w:pStyle w:val="ListBullet"/>
      </w:pPr>
      <w:r>
        <w:t>Code definitions, inclusion/exclusion criteria, positive/negative examples</w:t>
      </w:r>
    </w:p>
    <w:p>
      <w:pPr>
        <w:pStyle w:val="ListBullet"/>
      </w:pPr>
      <w:r>
        <w:t>Code merging, renaming, deprecation, and versioning</w:t>
      </w:r>
    </w:p>
    <w:p>
      <w:pPr>
        <w:pStyle w:val="ListBullet"/>
      </w:pPr>
      <w:r>
        <w:t>Coding stripes or equivalent visual indicators</w:t>
      </w:r>
    </w:p>
    <w:p>
      <w:pPr>
        <w:pStyle w:val="Heading3"/>
      </w:pPr>
      <w:r>
        <w:t>Cases and attributes</w:t>
      </w:r>
    </w:p>
    <w:p>
      <w:pPr>
        <w:pStyle w:val="ListBullet"/>
      </w:pPr>
      <w:r>
        <w:t>Participants, organizations, sessions, or other case types</w:t>
      </w:r>
    </w:p>
    <w:p>
      <w:pPr>
        <w:pStyle w:val="ListBullet"/>
      </w:pPr>
      <w:r>
        <w:t>Attributes such as role, cohort, demographic field, product plan, region, or study arm</w:t>
      </w:r>
    </w:p>
    <w:p>
      <w:pPr>
        <w:pStyle w:val="ListBullet"/>
      </w:pPr>
      <w:r>
        <w:t>Many-to-many relationships between sources and cases</w:t>
      </w:r>
    </w:p>
    <w:p>
      <w:pPr>
        <w:pStyle w:val="ListBullet"/>
      </w:pPr>
      <w:r>
        <w:t>Case-by-code and attribute-by-code analysis</w:t>
      </w:r>
    </w:p>
    <w:p>
      <w:pPr>
        <w:pStyle w:val="Heading3"/>
      </w:pPr>
      <w:r>
        <w:t>Memos and annotations</w:t>
      </w:r>
    </w:p>
    <w:p>
      <w:pPr>
        <w:pStyle w:val="ListBullet"/>
      </w:pPr>
      <w:r>
        <w:t>Project memos</w:t>
      </w:r>
    </w:p>
    <w:p>
      <w:pPr>
        <w:pStyle w:val="ListBullet"/>
      </w:pPr>
      <w:r>
        <w:t>Code memos</w:t>
      </w:r>
    </w:p>
    <w:p>
      <w:pPr>
        <w:pStyle w:val="ListBullet"/>
      </w:pPr>
      <w:r>
        <w:t>Case memos</w:t>
      </w:r>
    </w:p>
    <w:p>
      <w:pPr>
        <w:pStyle w:val="ListBullet"/>
      </w:pPr>
      <w:r>
        <w:t>Passage-level annotations</w:t>
      </w:r>
    </w:p>
    <w:p>
      <w:pPr>
        <w:pStyle w:val="ListBullet"/>
      </w:pPr>
      <w:r>
        <w:t>Links among memos, codes, cases, and sources</w:t>
      </w:r>
    </w:p>
    <w:p>
      <w:pPr>
        <w:pStyle w:val="Heading3"/>
      </w:pPr>
      <w:r>
        <w:t>Queries and matrices</w:t>
      </w:r>
    </w:p>
    <w:p>
      <w:pPr>
        <w:pStyle w:val="ListBullet"/>
      </w:pPr>
      <w:r>
        <w:t>Retrieve all excerpts coded at one or more codes</w:t>
      </w:r>
    </w:p>
    <w:p>
      <w:pPr>
        <w:pStyle w:val="ListBullet"/>
      </w:pPr>
      <w:r>
        <w:t>Boolean coding queries</w:t>
      </w:r>
    </w:p>
    <w:p>
      <w:pPr>
        <w:pStyle w:val="ListBullet"/>
      </w:pPr>
      <w:r>
        <w:t>Code co-occurrence</w:t>
      </w:r>
    </w:p>
    <w:p>
      <w:pPr>
        <w:pStyle w:val="ListBullet"/>
      </w:pPr>
      <w:r>
        <w:t>Text search and lexical queries</w:t>
      </w:r>
    </w:p>
    <w:p>
      <w:pPr>
        <w:pStyle w:val="ListBullet"/>
      </w:pPr>
      <w:r>
        <w:t>Code-by-case matrices</w:t>
      </w:r>
    </w:p>
    <w:p>
      <w:pPr>
        <w:pStyle w:val="ListBullet"/>
      </w:pPr>
      <w:r>
        <w:t>Code-by-attribute matrices</w:t>
      </w:r>
    </w:p>
    <w:p>
      <w:pPr>
        <w:pStyle w:val="ListBullet"/>
      </w:pPr>
      <w:r>
        <w:t>Framework matrices</w:t>
      </w:r>
    </w:p>
    <w:p>
      <w:pPr>
        <w:pStyle w:val="ListBullet"/>
      </w:pPr>
      <w:r>
        <w:t>Cross-tabulation and summary tables</w:t>
      </w:r>
    </w:p>
    <w:p>
      <w:pPr>
        <w:pStyle w:val="Heading3"/>
      </w:pPr>
      <w:r>
        <w:t>Visual analysis</w:t>
      </w:r>
    </w:p>
    <w:p>
      <w:pPr>
        <w:pStyle w:val="ListBullet"/>
      </w:pPr>
      <w:r>
        <w:t>Code frequency charts</w:t>
      </w:r>
    </w:p>
    <w:p>
      <w:pPr>
        <w:pStyle w:val="ListBullet"/>
      </w:pPr>
      <w:r>
        <w:t>Co-occurrence networks</w:t>
      </w:r>
    </w:p>
    <w:p>
      <w:pPr>
        <w:pStyle w:val="ListBullet"/>
      </w:pPr>
      <w:r>
        <w:t>Case/code heatmaps</w:t>
      </w:r>
    </w:p>
    <w:p>
      <w:pPr>
        <w:pStyle w:val="ListBullet"/>
      </w:pPr>
      <w:r>
        <w:t>Timeline views where timestamps exist</w:t>
      </w:r>
    </w:p>
    <w:p>
      <w:pPr>
        <w:pStyle w:val="ListBullet"/>
      </w:pPr>
      <w:r>
        <w:t>Distribution plots</w:t>
      </w:r>
    </w:p>
    <w:p>
      <w:pPr>
        <w:pStyle w:val="ListBullet"/>
      </w:pPr>
      <w:r>
        <w:t>Drill-down from a visualization to underlying evidence</w:t>
      </w:r>
    </w:p>
    <w:p>
      <w:pPr>
        <w:pStyle w:val="Heading3"/>
      </w:pPr>
      <w:r>
        <w:t>Exports</w:t>
      </w:r>
    </w:p>
    <w:p>
      <w:pPr>
        <w:pStyle w:val="ListBullet"/>
      </w:pPr>
      <w:r>
        <w:t>Coded excerpts with provenance</w:t>
      </w:r>
    </w:p>
    <w:p>
      <w:pPr>
        <w:pStyle w:val="ListBullet"/>
      </w:pPr>
      <w:r>
        <w:t>Codebook reports</w:t>
      </w:r>
    </w:p>
    <w:p>
      <w:pPr>
        <w:pStyle w:val="ListBullet"/>
      </w:pPr>
      <w:r>
        <w:t>Matrices and tables as CSV/XLSX</w:t>
      </w:r>
    </w:p>
    <w:p>
      <w:pPr>
        <w:pStyle w:val="ListBullet"/>
      </w:pPr>
      <w:r>
        <w:t>Research memos and analytic reports</w:t>
      </w:r>
    </w:p>
    <w:p>
      <w:pPr>
        <w:pStyle w:val="ListBullet"/>
      </w:pPr>
      <w:r>
        <w:t>Machine-readable project export</w:t>
      </w:r>
    </w:p>
    <w:p>
      <w:pPr>
        <w:pStyle w:val="ListBullet"/>
      </w:pPr>
      <w:r>
        <w:t>Audit and reproducibility bundle</w:t>
      </w:r>
    </w:p>
    <w:p>
      <w:pPr>
        <w:pStyle w:val="Heading1"/>
      </w:pPr>
      <w:r>
        <w:t>8. AI Coding and Analysis Engine</w:t>
      </w:r>
    </w:p>
    <w:p>
      <w:pPr>
        <w:pStyle w:val="Heading2"/>
      </w:pPr>
      <w:r>
        <w:t>8.1 Three operating modes</w:t>
      </w:r>
    </w:p>
    <w:tbl>
      <w:tblPr>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7324D"/>
            <w:vAlign w:val="center"/>
          </w:tcPr>
          <w:p>
            <w:pPr>
              <w:spacing w:after="40"/>
            </w:pPr>
            <w:r>
              <w:rPr>
                <w:color w:val="FFFFFF"/>
              </w:rPr>
              <w:t>Mode</w:t>
            </w:r>
          </w:p>
        </w:tc>
        <w:tc>
          <w:tcPr>
            <w:tcW w:type="dxa" w:w="2448"/>
            <w:shd w:fill="17324D"/>
            <w:vAlign w:val="center"/>
          </w:tcPr>
          <w:p>
            <w:pPr>
              <w:spacing w:after="40"/>
            </w:pPr>
            <w:r>
              <w:rPr>
                <w:color w:val="FFFFFF"/>
              </w:rPr>
              <w:t>Primary engine</w:t>
            </w:r>
          </w:p>
        </w:tc>
        <w:tc>
          <w:tcPr>
            <w:tcW w:type="dxa" w:w="2448"/>
            <w:shd w:fill="17324D"/>
            <w:vAlign w:val="center"/>
          </w:tcPr>
          <w:p>
            <w:pPr>
              <w:spacing w:after="40"/>
            </w:pPr>
            <w:r>
              <w:rPr>
                <w:color w:val="FFFFFF"/>
              </w:rPr>
              <w:t>Best use</w:t>
            </w:r>
          </w:p>
        </w:tc>
        <w:tc>
          <w:tcPr>
            <w:tcW w:type="dxa" w:w="2448"/>
            <w:shd w:fill="17324D"/>
            <w:vAlign w:val="center"/>
          </w:tcPr>
          <w:p>
            <w:pPr>
              <w:spacing w:after="40"/>
            </w:pPr>
            <w:r>
              <w:rPr>
                <w:color w:val="FFFFFF"/>
              </w:rPr>
              <w:t>Jev required?</w:t>
            </w:r>
          </w:p>
        </w:tc>
      </w:tr>
      <w:tr>
        <w:tc>
          <w:tcPr>
            <w:tcW w:type="dxa" w:w="2448"/>
            <w:vAlign w:val="center"/>
          </w:tcPr>
          <w:p>
            <w:pPr>
              <w:spacing w:after="40"/>
            </w:pPr>
            <w:r>
              <w:t>Manual / assisted</w:t>
            </w:r>
          </w:p>
        </w:tc>
        <w:tc>
          <w:tcPr>
            <w:tcW w:type="dxa" w:w="2448"/>
            <w:vAlign w:val="center"/>
          </w:tcPr>
          <w:p>
            <w:pPr>
              <w:spacing w:after="40"/>
            </w:pPr>
            <w:r>
              <w:t>Human + optional LLM suggestions</w:t>
            </w:r>
          </w:p>
        </w:tc>
        <w:tc>
          <w:tcPr>
            <w:tcW w:type="dxa" w:w="2448"/>
            <w:vAlign w:val="center"/>
          </w:tcPr>
          <w:p>
            <w:pPr>
              <w:spacing w:after="40"/>
            </w:pPr>
            <w:r>
              <w:t>Exploration, initial coding, sensitive interpretation</w:t>
            </w:r>
          </w:p>
        </w:tc>
        <w:tc>
          <w:tcPr>
            <w:tcW w:type="dxa" w:w="2448"/>
            <w:vAlign w:val="center"/>
          </w:tcPr>
          <w:p>
            <w:pPr>
              <w:spacing w:after="40"/>
            </w:pPr>
            <w:r>
              <w:t>No</w:t>
            </w:r>
          </w:p>
        </w:tc>
      </w:tr>
      <w:tr>
        <w:tc>
          <w:tcPr>
            <w:tcW w:type="dxa" w:w="2448"/>
            <w:vAlign w:val="center"/>
          </w:tcPr>
          <w:p>
            <w:pPr>
              <w:spacing w:after="40"/>
            </w:pPr>
            <w:r>
              <w:t>LLM coding</w:t>
            </w:r>
          </w:p>
        </w:tc>
        <w:tc>
          <w:tcPr>
            <w:tcW w:type="dxa" w:w="2448"/>
            <w:vAlign w:val="center"/>
          </w:tcPr>
          <w:p>
            <w:pPr>
              <w:spacing w:after="40"/>
            </w:pPr>
            <w:r>
              <w:t>Claude/Codex or configured API model</w:t>
            </w:r>
          </w:p>
        </w:tc>
        <w:tc>
          <w:tcPr>
            <w:tcW w:type="dxa" w:w="2448"/>
            <w:vAlign w:val="center"/>
          </w:tcPr>
          <w:p>
            <w:pPr>
              <w:spacing w:after="40"/>
            </w:pPr>
            <w:r>
              <w:t>Open coding, ambiguous interpretation, memo generation</w:t>
            </w:r>
          </w:p>
        </w:tc>
        <w:tc>
          <w:tcPr>
            <w:tcW w:type="dxa" w:w="2448"/>
            <w:vAlign w:val="center"/>
          </w:tcPr>
          <w:p>
            <w:pPr>
              <w:spacing w:after="40"/>
            </w:pPr>
            <w:r>
              <w:t>No</w:t>
            </w:r>
          </w:p>
        </w:tc>
      </w:tr>
      <w:tr>
        <w:tc>
          <w:tcPr>
            <w:tcW w:type="dxa" w:w="2448"/>
            <w:vAlign w:val="center"/>
          </w:tcPr>
          <w:p>
            <w:pPr>
              <w:spacing w:after="40"/>
            </w:pPr>
            <w:r>
              <w:t>Hybrid bulk coding</w:t>
            </w:r>
          </w:p>
        </w:tc>
        <w:tc>
          <w:tcPr>
            <w:tcW w:type="dxa" w:w="2448"/>
            <w:vAlign w:val="center"/>
          </w:tcPr>
          <w:p>
            <w:pPr>
              <w:spacing w:after="40"/>
            </w:pPr>
            <w:r>
              <w:t>Jev + general LLM escalation</w:t>
            </w:r>
          </w:p>
        </w:tc>
        <w:tc>
          <w:tcPr>
            <w:tcW w:type="dxa" w:w="2448"/>
            <w:vAlign w:val="center"/>
          </w:tcPr>
          <w:p>
            <w:pPr>
              <w:spacing w:after="40"/>
            </w:pPr>
            <w:r>
              <w:t>Stable deductive codebooks at scale</w:t>
            </w:r>
          </w:p>
        </w:tc>
        <w:tc>
          <w:tcPr>
            <w:tcW w:type="dxa" w:w="2448"/>
            <w:vAlign w:val="center"/>
          </w:tcPr>
          <w:p>
            <w:pPr>
              <w:spacing w:after="40"/>
            </w:pPr>
            <w:r>
              <w:t>Optional</w:t>
            </w:r>
          </w:p>
        </w:tc>
      </w:tr>
    </w:tbl>
    <w:p>
      <w:pPr>
        <w:pStyle w:val="Heading2"/>
      </w:pPr>
      <w:r>
        <w:t>8.2 Classification backend interface</w:t>
      </w:r>
    </w:p>
    <w:p>
      <w:pPr>
        <w:pStyle w:val="CodeBlock"/>
        <w:spacing w:before="80" w:after="160"/>
      </w:pPr>
      <w:r>
        <w:t>class ClassificationBackend:</w:t>
        <w:br/>
        <w:t xml:space="preserve">    def classify(self, segments, schema, context=None):</w:t>
        <w:br/>
        <w:t xml:space="preserve">        ...</w:t>
        <w:br/>
        <w:br/>
        <w:t>class LLMBackend(ClassificationBackend):</w:t>
        <w:br/>
        <w:t xml:space="preserve">    ...</w:t>
        <w:br/>
        <w:br/>
        <w:t>class JevBackend(ClassificationBackend):</w:t>
        <w:br/>
        <w:t xml:space="preserve">    ...</w:t>
        <w:br/>
        <w:br/>
        <w:t>class RuleBackend(ClassificationBackend):</w:t>
        <w:br/>
        <w:t xml:space="preserve">    ...</w:t>
      </w:r>
    </w:p>
    <w:p>
      <w:r>
        <w:t>The research engine asks for a classification through an abstract interface. Routing logic selects the appropriate backend based on task type, availability, privacy constraints, cost policy, and ambiguity.</w:t>
      </w:r>
    </w:p>
    <w:p>
      <w:pPr>
        <w:pStyle w:val="Heading2"/>
      </w:pPr>
      <w:r>
        <w:t>8.3 Recommended routing behavior</w:t>
      </w:r>
    </w:p>
    <w:p>
      <w:pPr>
        <w:pStyle w:val="ListBullet"/>
      </w:pPr>
      <w:r>
        <w:t>Open coding, code discovery, conceptual memoing, and ambiguous interpretation route to a capable general LLM.</w:t>
      </w:r>
    </w:p>
    <w:p>
      <w:pPr>
        <w:pStyle w:val="ListBullet"/>
      </w:pPr>
      <w:r>
        <w:t>Binary, categorical, and stable deductive coding can route to Jev when enabled.</w:t>
      </w:r>
    </w:p>
    <w:p>
      <w:pPr>
        <w:pStyle w:val="ListBullet"/>
      </w:pPr>
      <w:r>
        <w:t>Deterministic metadata extraction or exact lexical rules should use ordinary code rather than an LLM.</w:t>
      </w:r>
    </w:p>
    <w:p>
      <w:pPr>
        <w:pStyle w:val="ListBullet"/>
      </w:pPr>
      <w:r>
        <w:t>Low-confidence, contradictory, or out-of-distribution cases escalate to a stronger model or human review.</w:t>
      </w:r>
    </w:p>
    <w:p>
      <w:pPr>
        <w:pStyle w:val="ListBullet"/>
      </w:pPr>
      <w:r>
        <w:t>If Jev is unavailable, the same schema is converted into a structured-output LLM request.</w:t>
      </w:r>
    </w:p>
    <w:p>
      <w:pPr>
        <w:pStyle w:val="Heading1"/>
      </w:pPr>
      <w:r>
        <w:t>9. Research Data Model and Provenance</w:t>
      </w:r>
    </w:p>
    <w:p>
      <w:r>
        <w:t>The data model must make a coding decision a first-class, versioned event rather than simply storing a code on a document. This is essential for reproducibility and self-improvement.</w:t>
      </w:r>
    </w:p>
    <w:p>
      <w:pPr>
        <w:pStyle w:val="Heading2"/>
      </w:pPr>
      <w:r>
        <w:t>9.1 Core entities</w:t>
      </w:r>
    </w:p>
    <w:tbl>
      <w:tblPr>
        <w:tblW w:type="auto" w:w="0"/>
        <w:jc w:val="center"/>
        <w:tblLook w:firstColumn="1" w:firstRow="1" w:lastColumn="0" w:lastRow="0" w:noHBand="0" w:noVBand="1" w:val="04A0"/>
      </w:tblPr>
      <w:tblGrid>
        <w:gridCol w:w="4896"/>
        <w:gridCol w:w="4896"/>
      </w:tblGrid>
      <w:tr>
        <w:tc>
          <w:tcPr>
            <w:tcW w:type="dxa" w:w="4896"/>
            <w:shd w:fill="17324D"/>
            <w:vAlign w:val="center"/>
          </w:tcPr>
          <w:p>
            <w:pPr>
              <w:spacing w:after="40"/>
            </w:pPr>
            <w:r>
              <w:rPr>
                <w:color w:val="FFFFFF"/>
              </w:rPr>
              <w:t>Entity</w:t>
            </w:r>
          </w:p>
        </w:tc>
        <w:tc>
          <w:tcPr>
            <w:tcW w:type="dxa" w:w="4896"/>
            <w:shd w:fill="17324D"/>
            <w:vAlign w:val="center"/>
          </w:tcPr>
          <w:p>
            <w:pPr>
              <w:spacing w:after="40"/>
            </w:pPr>
            <w:r>
              <w:rPr>
                <w:color w:val="FFFFFF"/>
              </w:rPr>
              <w:t>Purpose</w:t>
            </w:r>
          </w:p>
        </w:tc>
      </w:tr>
      <w:tr>
        <w:tc>
          <w:tcPr>
            <w:tcW w:type="dxa" w:w="4896"/>
            <w:vAlign w:val="center"/>
          </w:tcPr>
          <w:p>
            <w:pPr>
              <w:spacing w:after="40"/>
            </w:pPr>
            <w:r>
              <w:t>Project</w:t>
            </w:r>
          </w:p>
        </w:tc>
        <w:tc>
          <w:tcPr>
            <w:tcW w:type="dxa" w:w="4896"/>
            <w:vAlign w:val="center"/>
          </w:tcPr>
          <w:p>
            <w:pPr>
              <w:spacing w:after="40"/>
            </w:pPr>
            <w:r>
              <w:t>Container for sources, methodology, settings, and exports.</w:t>
            </w:r>
          </w:p>
        </w:tc>
      </w:tr>
      <w:tr>
        <w:tc>
          <w:tcPr>
            <w:tcW w:type="dxa" w:w="4896"/>
            <w:vAlign w:val="center"/>
          </w:tcPr>
          <w:p>
            <w:pPr>
              <w:spacing w:after="40"/>
            </w:pPr>
            <w:r>
              <w:t>Source</w:t>
            </w:r>
          </w:p>
        </w:tc>
        <w:tc>
          <w:tcPr>
            <w:tcW w:type="dxa" w:w="4896"/>
            <w:vAlign w:val="center"/>
          </w:tcPr>
          <w:p>
            <w:pPr>
              <w:spacing w:after="40"/>
            </w:pPr>
            <w:r>
              <w:t>Imported document, conversation, transcript, or response collection.</w:t>
            </w:r>
          </w:p>
        </w:tc>
      </w:tr>
      <w:tr>
        <w:tc>
          <w:tcPr>
            <w:tcW w:type="dxa" w:w="4896"/>
            <w:vAlign w:val="center"/>
          </w:tcPr>
          <w:p>
            <w:pPr>
              <w:spacing w:after="40"/>
            </w:pPr>
            <w:r>
              <w:t>Segment</w:t>
            </w:r>
          </w:p>
        </w:tc>
        <w:tc>
          <w:tcPr>
            <w:tcW w:type="dxa" w:w="4896"/>
            <w:vAlign w:val="center"/>
          </w:tcPr>
          <w:p>
            <w:pPr>
              <w:spacing w:after="40"/>
            </w:pPr>
            <w:r>
              <w:t>Stable addressable unit or span within a source.</w:t>
            </w:r>
          </w:p>
        </w:tc>
      </w:tr>
      <w:tr>
        <w:tc>
          <w:tcPr>
            <w:tcW w:type="dxa" w:w="4896"/>
            <w:vAlign w:val="center"/>
          </w:tcPr>
          <w:p>
            <w:pPr>
              <w:spacing w:after="40"/>
            </w:pPr>
            <w:r>
              <w:t>Case</w:t>
            </w:r>
          </w:p>
        </w:tc>
        <w:tc>
          <w:tcPr>
            <w:tcW w:type="dxa" w:w="4896"/>
            <w:vAlign w:val="center"/>
          </w:tcPr>
          <w:p>
            <w:pPr>
              <w:spacing w:after="40"/>
            </w:pPr>
            <w:r>
              <w:t>Participant, organization, session, or other analytic entity.</w:t>
            </w:r>
          </w:p>
        </w:tc>
      </w:tr>
      <w:tr>
        <w:tc>
          <w:tcPr>
            <w:tcW w:type="dxa" w:w="4896"/>
            <w:vAlign w:val="center"/>
          </w:tcPr>
          <w:p>
            <w:pPr>
              <w:spacing w:after="40"/>
            </w:pPr>
            <w:r>
              <w:t>Attribute</w:t>
            </w:r>
          </w:p>
        </w:tc>
        <w:tc>
          <w:tcPr>
            <w:tcW w:type="dxa" w:w="4896"/>
            <w:vAlign w:val="center"/>
          </w:tcPr>
          <w:p>
            <w:pPr>
              <w:spacing w:after="40"/>
            </w:pPr>
            <w:r>
              <w:t>Structured characteristic attached to a case or source.</w:t>
            </w:r>
          </w:p>
        </w:tc>
      </w:tr>
      <w:tr>
        <w:tc>
          <w:tcPr>
            <w:tcW w:type="dxa" w:w="4896"/>
            <w:vAlign w:val="center"/>
          </w:tcPr>
          <w:p>
            <w:pPr>
              <w:spacing w:after="40"/>
            </w:pPr>
            <w:r>
              <w:t>Code</w:t>
            </w:r>
          </w:p>
        </w:tc>
        <w:tc>
          <w:tcPr>
            <w:tcW w:type="dxa" w:w="4896"/>
            <w:vAlign w:val="center"/>
          </w:tcPr>
          <w:p>
            <w:pPr>
              <w:spacing w:after="40"/>
            </w:pPr>
            <w:r>
              <w:t>Current conceptual coding category.</w:t>
            </w:r>
          </w:p>
        </w:tc>
      </w:tr>
      <w:tr>
        <w:tc>
          <w:tcPr>
            <w:tcW w:type="dxa" w:w="4896"/>
            <w:vAlign w:val="center"/>
          </w:tcPr>
          <w:p>
            <w:pPr>
              <w:spacing w:after="40"/>
            </w:pPr>
            <w:r>
              <w:t>CodebookVersion</w:t>
            </w:r>
          </w:p>
        </w:tc>
        <w:tc>
          <w:tcPr>
            <w:tcW w:type="dxa" w:w="4896"/>
            <w:vAlign w:val="center"/>
          </w:tcPr>
          <w:p>
            <w:pPr>
              <w:spacing w:after="40"/>
            </w:pPr>
            <w:r>
              <w:t>Immutable snapshot of code definitions and hierarchy.</w:t>
            </w:r>
          </w:p>
        </w:tc>
      </w:tr>
      <w:tr>
        <w:tc>
          <w:tcPr>
            <w:tcW w:type="dxa" w:w="4896"/>
            <w:vAlign w:val="center"/>
          </w:tcPr>
          <w:p>
            <w:pPr>
              <w:spacing w:after="40"/>
            </w:pPr>
            <w:r>
              <w:t>CodingEvent</w:t>
            </w:r>
          </w:p>
        </w:tc>
        <w:tc>
          <w:tcPr>
            <w:tcW w:type="dxa" w:w="4896"/>
            <w:vAlign w:val="center"/>
          </w:tcPr>
          <w:p>
            <w:pPr>
              <w:spacing w:after="40"/>
            </w:pPr>
            <w:r>
              <w:t>Assignment, removal, suggestion, rejection, or modification of a code on a segment.</w:t>
            </w:r>
          </w:p>
        </w:tc>
      </w:tr>
      <w:tr>
        <w:tc>
          <w:tcPr>
            <w:tcW w:type="dxa" w:w="4896"/>
            <w:vAlign w:val="center"/>
          </w:tcPr>
          <w:p>
            <w:pPr>
              <w:spacing w:after="40"/>
            </w:pPr>
            <w:r>
              <w:t>Memo</w:t>
            </w:r>
          </w:p>
        </w:tc>
        <w:tc>
          <w:tcPr>
            <w:tcW w:type="dxa" w:w="4896"/>
            <w:vAlign w:val="center"/>
          </w:tcPr>
          <w:p>
            <w:pPr>
              <w:spacing w:after="40"/>
            </w:pPr>
            <w:r>
              <w:t>Researcher or model-authored analytic note with links to evidence.</w:t>
            </w:r>
          </w:p>
        </w:tc>
      </w:tr>
      <w:tr>
        <w:tc>
          <w:tcPr>
            <w:tcW w:type="dxa" w:w="4896"/>
            <w:vAlign w:val="center"/>
          </w:tcPr>
          <w:p>
            <w:pPr>
              <w:spacing w:after="40"/>
            </w:pPr>
            <w:r>
              <w:t>Experiment</w:t>
            </w:r>
          </w:p>
        </w:tc>
        <w:tc>
          <w:tcPr>
            <w:tcW w:type="dxa" w:w="4896"/>
            <w:vAlign w:val="center"/>
          </w:tcPr>
          <w:p>
            <w:pPr>
              <w:spacing w:after="40"/>
            </w:pPr>
            <w:r>
              <w:t>Autoresearch hypothesis, modification, metrics, and outcome.</w:t>
            </w:r>
          </w:p>
        </w:tc>
      </w:tr>
      <w:tr>
        <w:tc>
          <w:tcPr>
            <w:tcW w:type="dxa" w:w="4896"/>
            <w:vAlign w:val="center"/>
          </w:tcPr>
          <w:p>
            <w:pPr>
              <w:spacing w:after="40"/>
            </w:pPr>
            <w:r>
              <w:t>EvaluationRun</w:t>
            </w:r>
          </w:p>
        </w:tc>
        <w:tc>
          <w:tcPr>
            <w:tcW w:type="dxa" w:w="4896"/>
            <w:vAlign w:val="center"/>
          </w:tcPr>
          <w:p>
            <w:pPr>
              <w:spacing w:after="40"/>
            </w:pPr>
            <w:r>
              <w:t>Metrics produced by a specific system version on a benchmark.</w:t>
            </w:r>
          </w:p>
        </w:tc>
      </w:tr>
      <w:tr>
        <w:tc>
          <w:tcPr>
            <w:tcW w:type="dxa" w:w="4896"/>
            <w:vAlign w:val="center"/>
          </w:tcPr>
          <w:p>
            <w:pPr>
              <w:spacing w:after="40"/>
            </w:pPr>
            <w:r>
              <w:t>FeedbackEvent</w:t>
            </w:r>
          </w:p>
        </w:tc>
        <w:tc>
          <w:tcPr>
            <w:tcW w:type="dxa" w:w="4896"/>
            <w:vAlign w:val="center"/>
          </w:tcPr>
          <w:p>
            <w:pPr>
              <w:spacing w:after="40"/>
            </w:pPr>
            <w:r>
              <w:t>Human correction or adjudication that may be used for development.</w:t>
            </w:r>
          </w:p>
        </w:tc>
      </w:tr>
    </w:tbl>
    <w:p>
      <w:pPr>
        <w:pStyle w:val="Heading2"/>
      </w:pPr>
      <w:r>
        <w:t>9.2 Example coding event</w:t>
      </w:r>
    </w:p>
    <w:p>
      <w:pPr>
        <w:pStyle w:val="CodeBlock"/>
        <w:spacing w:before="80" w:after="160"/>
      </w:pPr>
      <w:r>
        <w:t>{</w:t>
        <w:br/>
        <w:t xml:space="preserve">  "project_id": "proj_001",</w:t>
        <w:br/>
        <w:t xml:space="preserve">  "source_id": "interview_017",</w:t>
        <w:br/>
        <w:t xml:space="preserve">  "segment_id": "seg_004812",</w:t>
        <w:br/>
        <w:t xml:space="preserve">  "span": [1842, 1967],</w:t>
        <w:br/>
        <w:t xml:space="preserve">  "code_id": "complexity_barrier",</w:t>
        <w:br/>
        <w:t xml:space="preserve">  "action": "assign",</w:t>
        <w:br/>
        <w:t xml:space="preserve">  "actor_type": "model",</w:t>
        <w:br/>
        <w:t xml:space="preserve">  "actor": "jev-1.13",</w:t>
        <w:br/>
        <w:t xml:space="preserve">  "score": 0.94,</w:t>
        <w:br/>
        <w:t xml:space="preserve">  "codebook_version": "cb_v14",</w:t>
        <w:br/>
        <w:t xml:space="preserve">  "pipeline_version": "pipe_v31",</w:t>
        <w:br/>
        <w:t xml:space="preserve">  "experiment_id": "exp_0031",</w:t>
        <w:br/>
        <w:t xml:space="preserve">  "review_status": "accepted",</w:t>
        <w:br/>
        <w:t xml:space="preserve">  "reviewed_by": "researcher_01"</w:t>
        <w:br/>
        <w:t>}</w:t>
      </w:r>
    </w:p>
    <w:p>
      <w:pPr>
        <w:pStyle w:val="Heading1"/>
      </w:pPr>
      <w:r>
        <w:t>10. Self-Improvement System</w:t>
      </w:r>
    </w:p>
    <w:p>
      <w:r>
        <w:t>Self-improvement is a native capability, not a separate plugin. The loop follows the autoresearch pattern: observe a weakness, state a hypothesis, modify a constrained portion of the system, evaluate against a fixed benchmark, and keep or revert the change.</w:t>
      </w:r>
    </w:p>
    <w:p>
      <w:pPr>
        <w:pStyle w:val="CodeBlock"/>
        <w:spacing w:before="80" w:after="160"/>
      </w:pPr>
      <w:r>
        <w:t>CURRENT CODER</w:t>
        <w:br/>
        <w:t xml:space="preserve">     |</w:t>
        <w:br/>
        <w:t xml:space="preserve">     v</w:t>
        <w:br/>
        <w:t>Evaluate on protected benchmark</w:t>
        <w:br/>
        <w:t xml:space="preserve">     |</w:t>
        <w:br/>
        <w:t xml:space="preserve">     v</w:t>
        <w:br/>
        <w:t>Inspect errors and disagreements</w:t>
        <w:br/>
        <w:t xml:space="preserve">     |</w:t>
        <w:br/>
        <w:t xml:space="preserve">     v</w:t>
        <w:br/>
        <w:t>Agent proposes ONE testable hypothesis</w:t>
        <w:br/>
        <w:t xml:space="preserve">     |</w:t>
        <w:br/>
        <w:t xml:space="preserve">     v</w:t>
        <w:br/>
        <w:t>Modify allowed implementation files</w:t>
        <w:br/>
        <w:t xml:space="preserve">     |</w:t>
        <w:br/>
        <w:t xml:space="preserve">     v</w:t>
        <w:br/>
        <w:t>Re-run evaluation + regression suite</w:t>
        <w:br/>
        <w:t xml:space="preserve">     |</w:t>
        <w:br/>
        <w:t xml:space="preserve">  +--+------------------+</w:t>
        <w:br/>
        <w:t xml:space="preserve">  |                     |</w:t>
        <w:br/>
        <w:t xml:space="preserve"> better                worse / unsafe</w:t>
        <w:br/>
        <w:t xml:space="preserve">  |                     |</w:t>
        <w:br/>
        <w:t xml:space="preserve"> KEEP                  REVERT</w:t>
        <w:br/>
        <w:t xml:space="preserve">  |                     |</w:t>
        <w:br/>
        <w:t xml:space="preserve">  +----------&lt;----------+</w:t>
      </w:r>
    </w:p>
    <w:p>
      <w:pPr>
        <w:pStyle w:val="Heading2"/>
      </w:pPr>
      <w:r>
        <w:t>10.1 Mutable components</w:t>
      </w:r>
    </w:p>
    <w:p>
      <w:pPr>
        <w:pStyle w:val="ListBullet"/>
      </w:pPr>
      <w:r>
        <w:t>Coding prompts</w:t>
      </w:r>
    </w:p>
    <w:p>
      <w:pPr>
        <w:pStyle w:val="ListBullet"/>
      </w:pPr>
      <w:r>
        <w:t>Jev classification questions and schemas</w:t>
      </w:r>
    </w:p>
    <w:p>
      <w:pPr>
        <w:pStyle w:val="ListBullet"/>
      </w:pPr>
      <w:r>
        <w:t>Few-shot examples</w:t>
      </w:r>
    </w:p>
    <w:p>
      <w:pPr>
        <w:pStyle w:val="ListBullet"/>
      </w:pPr>
      <w:r>
        <w:t>Segmentation rules</w:t>
      </w:r>
    </w:p>
    <w:p>
      <w:pPr>
        <w:pStyle w:val="ListBullet"/>
      </w:pPr>
      <w:r>
        <w:t>Context-window assembly</w:t>
      </w:r>
    </w:p>
    <w:p>
      <w:pPr>
        <w:pStyle w:val="ListBullet"/>
      </w:pPr>
      <w:r>
        <w:t>Confidence and escalation thresholds</w:t>
      </w:r>
    </w:p>
    <w:p>
      <w:pPr>
        <w:pStyle w:val="ListBullet"/>
      </w:pPr>
      <w:r>
        <w:t>Backend routing policies</w:t>
      </w:r>
    </w:p>
    <w:p>
      <w:pPr>
        <w:pStyle w:val="ListBullet"/>
      </w:pPr>
      <w:r>
        <w:t>Batching strategy</w:t>
      </w:r>
    </w:p>
    <w:p>
      <w:pPr>
        <w:pStyle w:val="ListBullet"/>
      </w:pPr>
      <w:r>
        <w:t>Non-conceptual preprocessing rules</w:t>
      </w:r>
    </w:p>
    <w:p>
      <w:pPr>
        <w:pStyle w:val="ListBullet"/>
      </w:pPr>
      <w:r>
        <w:t>Selected implementation code explicitly listed as experiment-safe</w:t>
      </w:r>
    </w:p>
    <w:p>
      <w:pPr>
        <w:pStyle w:val="Heading2"/>
      </w:pPr>
      <w:r>
        <w:t>10.2 Protected components</w:t>
      </w:r>
    </w:p>
    <w:p>
      <w:pPr>
        <w:pStyle w:val="ListBullet"/>
      </w:pPr>
      <w:r>
        <w:t>Held-out benchmark labels</w:t>
      </w:r>
    </w:p>
    <w:p>
      <w:pPr>
        <w:pStyle w:val="ListBullet"/>
      </w:pPr>
      <w:r>
        <w:t>Evaluation metric definitions during an experiment</w:t>
      </w:r>
    </w:p>
    <w:p>
      <w:pPr>
        <w:pStyle w:val="ListBullet"/>
      </w:pPr>
      <w:r>
        <w:t>Core provenance and audit-log code</w:t>
      </w:r>
    </w:p>
    <w:p>
      <w:pPr>
        <w:pStyle w:val="ListBullet"/>
      </w:pPr>
      <w:r>
        <w:t>Researcher-approved methodological constraints</w:t>
      </w:r>
    </w:p>
    <w:p>
      <w:pPr>
        <w:pStyle w:val="ListBullet"/>
      </w:pPr>
      <w:r>
        <w:t>Protected test split</w:t>
      </w:r>
    </w:p>
    <w:p>
      <w:pPr>
        <w:pStyle w:val="ListBullet"/>
      </w:pPr>
      <w:r>
        <w:t>Acceptance thresholds unless changed by explicit researcher action</w:t>
      </w:r>
    </w:p>
    <w:tbl>
      <w:tblPr>
        <w:tblW w:type="auto" w:w="0"/>
        <w:jc w:val="center"/>
        <w:tblLayout w:type="fixed"/>
        <w:tblLook w:firstColumn="1" w:firstRow="1" w:lastColumn="0" w:lastRow="0" w:noHBand="0" w:noVBand="1" w:val="04A0"/>
      </w:tblPr>
      <w:tblGrid>
        <w:gridCol w:w="9792"/>
      </w:tblGrid>
      <w:tr>
        <w:tc>
          <w:tcPr>
            <w:tcW w:type="dxa" w:w="9504"/>
            <w:shd w:fill="EDF3F8"/>
            <w:vAlign w:val="center"/>
          </w:tcPr>
          <w:p>
            <w:pPr>
              <w:spacing w:after="40"/>
            </w:pPr>
            <w:r>
              <w:rPr>
                <w:b/>
                <w:color w:val="234765"/>
              </w:rPr>
              <w:t>Why the distinction matters</w:t>
            </w:r>
            <w:r>
              <w:br/>
              <w:t>Without protected evaluation, an autonomous system can appear to improve simply by changing the rubric, leaking test labels, narrowing the task, or rewriting the benchmark. The improvement agent must be prevented from moving the goalposts.</w:t>
            </w:r>
          </w:p>
        </w:tc>
      </w:tr>
    </w:tbl>
    <w:p>
      <w:pPr>
        <w:spacing w:after="0"/>
      </w:pPr>
    </w:p>
    <w:p>
      <w:pPr>
        <w:pStyle w:val="Heading1"/>
      </w:pPr>
      <w:r>
        <w:t>11. Two Levels of Improvement</w:t>
      </w:r>
    </w:p>
    <w:p>
      <w:pPr>
        <w:pStyle w:val="Heading2"/>
      </w:pPr>
      <w:r>
        <w:t>11.1 Implementation loop: autonomous</w:t>
      </w:r>
    </w:p>
    <w:p>
      <w:r>
        <w:t>This loop attempts to make the system execute an existing methodology more accurately, cheaply, consistently, or efficiently. It may run unattended within resource limits.</w:t>
      </w:r>
    </w:p>
    <w:p>
      <w:pPr>
        <w:pStyle w:val="ListBullet"/>
      </w:pPr>
      <w:r>
        <w:t>Improve prompt wording</w:t>
      </w:r>
    </w:p>
    <w:p>
      <w:pPr>
        <w:pStyle w:val="ListBullet"/>
      </w:pPr>
      <w:r>
        <w:t>Improve classification schema</w:t>
      </w:r>
    </w:p>
    <w:p>
      <w:pPr>
        <w:pStyle w:val="ListBullet"/>
      </w:pPr>
      <w:r>
        <w:t>Change routing thresholds</w:t>
      </w:r>
    </w:p>
    <w:p>
      <w:pPr>
        <w:pStyle w:val="ListBullet"/>
      </w:pPr>
      <w:r>
        <w:t>Improve segment boundaries</w:t>
      </w:r>
    </w:p>
    <w:p>
      <w:pPr>
        <w:pStyle w:val="ListBullet"/>
      </w:pPr>
      <w:r>
        <w:t>Reduce false positives for a defined code</w:t>
      </w:r>
    </w:p>
    <w:p>
      <w:pPr>
        <w:pStyle w:val="ListBullet"/>
      </w:pPr>
      <w:r>
        <w:t>Reduce unnecessary LLM escalation</w:t>
      </w:r>
    </w:p>
    <w:p>
      <w:pPr>
        <w:pStyle w:val="ListBullet"/>
      </w:pPr>
      <w:r>
        <w:t>Improve calibration or consistency</w:t>
      </w:r>
    </w:p>
    <w:p>
      <w:pPr>
        <w:pStyle w:val="Heading2"/>
      </w:pPr>
      <w:r>
        <w:t>11.2 Methodology loop: approval required</w:t>
      </w:r>
    </w:p>
    <w:p>
      <w:r>
        <w:t>This loop detects possible weaknesses in the conceptual framework but does not implement them automatically. It produces proposals for researcher review.</w:t>
      </w:r>
    </w:p>
    <w:p>
      <w:pPr>
        <w:pStyle w:val="ListBullet"/>
      </w:pPr>
      <w:r>
        <w:t>Split one code into two concepts</w:t>
      </w:r>
    </w:p>
    <w:p>
      <w:pPr>
        <w:pStyle w:val="ListBullet"/>
      </w:pPr>
      <w:r>
        <w:t>Merge overlapping codes</w:t>
      </w:r>
    </w:p>
    <w:p>
      <w:pPr>
        <w:pStyle w:val="ListBullet"/>
      </w:pPr>
      <w:r>
        <w:t>Add a newly observed theme</w:t>
      </w:r>
    </w:p>
    <w:p>
      <w:pPr>
        <w:pStyle w:val="ListBullet"/>
      </w:pPr>
      <w:r>
        <w:t>Change inclusion or exclusion criteria</w:t>
      </w:r>
    </w:p>
    <w:p>
      <w:pPr>
        <w:pStyle w:val="ListBullet"/>
      </w:pPr>
      <w:r>
        <w:t>Redefine a construct</w:t>
      </w:r>
    </w:p>
    <w:p>
      <w:pPr>
        <w:pStyle w:val="ListBullet"/>
      </w:pPr>
      <w:r>
        <w:t>Change the research question or analytic framework</w:t>
      </w:r>
    </w:p>
    <w:tbl>
      <w:tblPr>
        <w:tblW w:type="auto" w:w="0"/>
        <w:jc w:val="center"/>
        <w:tblLayout w:type="fixed"/>
        <w:tblLook w:firstColumn="1" w:firstRow="1" w:lastColumn="0" w:lastRow="0" w:noHBand="0" w:noVBand="1" w:val="04A0"/>
      </w:tblPr>
      <w:tblGrid>
        <w:gridCol w:w="9792"/>
      </w:tblGrid>
      <w:tr>
        <w:tc>
          <w:tcPr>
            <w:tcW w:type="dxa" w:w="9504"/>
            <w:shd w:fill="EDF3F8"/>
            <w:vAlign w:val="center"/>
          </w:tcPr>
          <w:p>
            <w:pPr>
              <w:spacing w:after="40"/>
            </w:pPr>
            <w:r>
              <w:rPr>
                <w:b/>
                <w:color w:val="234765"/>
              </w:rPr>
              <w:t>System rule</w:t>
            </w:r>
            <w:r>
              <w:br/>
              <w:t>Autonomous improvement of implementation. Human control of methodology.</w:t>
            </w:r>
          </w:p>
        </w:tc>
      </w:tr>
    </w:tbl>
    <w:p>
      <w:pPr>
        <w:spacing w:after="0"/>
      </w:pPr>
    </w:p>
    <w:p>
      <w:pPr>
        <w:pStyle w:val="Heading1"/>
      </w:pPr>
      <w:r>
        <w:t>12. Evaluation Framework</w:t>
      </w:r>
    </w:p>
    <w:p>
      <w:r>
        <w:t>A single scalar score is not sufficient for qualitative coding. The system should record a metric bundle and use a clearly defined acceptance policy.</w:t>
      </w:r>
    </w:p>
    <w:p>
      <w:pPr>
        <w:pStyle w:val="Heading2"/>
      </w:pPr>
      <w:r>
        <w:t>12.1 Benchmark structure</w:t>
      </w:r>
    </w:p>
    <w:p>
      <w:pPr>
        <w:pStyle w:val="ListBullet"/>
      </w:pPr>
      <w:r>
        <w:t>Development/training examples: available for prompt and schema design.</w:t>
      </w:r>
    </w:p>
    <w:p>
      <w:pPr>
        <w:pStyle w:val="ListBullet"/>
      </w:pPr>
      <w:r>
        <w:t>Validation benchmark: used repeatedly by the autoresearch loop.</w:t>
      </w:r>
    </w:p>
    <w:p>
      <w:pPr>
        <w:pStyle w:val="ListBullet"/>
      </w:pPr>
      <w:r>
        <w:t>Protected test benchmark: evaluated less frequently and inaccessible to the optimization agent.</w:t>
      </w:r>
    </w:p>
    <w:p>
      <w:pPr>
        <w:pStyle w:val="ListBullet"/>
      </w:pPr>
      <w:r>
        <w:t>Challenge sets: sarcasm, negation, very short excerpts, multi-code passages, edge cases, and known failure clusters.</w:t>
      </w:r>
    </w:p>
    <w:p>
      <w:pPr>
        <w:pStyle w:val="Heading2"/>
      </w:pPr>
      <w:r>
        <w:t>12.2 Candidate metrics</w:t>
      </w:r>
    </w:p>
    <w:p>
      <w:pPr>
        <w:pStyle w:val="ListBullet"/>
      </w:pPr>
      <w:r>
        <w:t>Per-code precision, recall, and F1</w:t>
      </w:r>
    </w:p>
    <w:p>
      <w:pPr>
        <w:pStyle w:val="ListBullet"/>
      </w:pPr>
      <w:r>
        <w:t>Macro and micro F1</w:t>
      </w:r>
    </w:p>
    <w:p>
      <w:pPr>
        <w:pStyle w:val="ListBullet"/>
      </w:pPr>
      <w:r>
        <w:t>Exact-match and partial-match rates for multi-label coding</w:t>
      </w:r>
    </w:p>
    <w:p>
      <w:pPr>
        <w:pStyle w:val="ListBullet"/>
      </w:pPr>
      <w:r>
        <w:t>Krippendorff alpha or Cohen kappa where appropriate</w:t>
      </w:r>
    </w:p>
    <w:p>
      <w:pPr>
        <w:pStyle w:val="ListBullet"/>
      </w:pPr>
      <w:r>
        <w:t>Calibration error for confidence-bearing backends</w:t>
      </w:r>
    </w:p>
    <w:p>
      <w:pPr>
        <w:pStyle w:val="ListBullet"/>
      </w:pPr>
      <w:r>
        <w:t>False-negative rate on priority codes</w:t>
      </w:r>
    </w:p>
    <w:p>
      <w:pPr>
        <w:pStyle w:val="ListBullet"/>
      </w:pPr>
      <w:r>
        <w:t>Rate of human escalation</w:t>
      </w:r>
    </w:p>
    <w:p>
      <w:pPr>
        <w:pStyle w:val="ListBullet"/>
      </w:pPr>
      <w:r>
        <w:t>Agreement with adjudicated human coding</w:t>
      </w:r>
    </w:p>
    <w:p>
      <w:pPr>
        <w:pStyle w:val="ListBullet"/>
      </w:pPr>
      <w:r>
        <w:t>Cost per thousand segments</w:t>
      </w:r>
    </w:p>
    <w:p>
      <w:pPr>
        <w:pStyle w:val="ListBullet"/>
      </w:pPr>
      <w:r>
        <w:t>Latency and throughput</w:t>
      </w:r>
    </w:p>
    <w:p>
      <w:pPr>
        <w:pStyle w:val="ListBullet"/>
      </w:pPr>
      <w:r>
        <w:t>Regression count across protected challenge sets</w:t>
      </w:r>
    </w:p>
    <w:p>
      <w:pPr>
        <w:pStyle w:val="Heading2"/>
      </w:pPr>
      <w:r>
        <w:t>12.3 Acceptance policy</w:t>
      </w:r>
    </w:p>
    <w:p>
      <w:pPr>
        <w:pStyle w:val="CodeBlock"/>
        <w:spacing w:before="80" w:after="160"/>
      </w:pPr>
      <w:r>
        <w:t>Example policy:</w:t>
        <w:br/>
        <w:br/>
        <w:t>KEEP an experiment only if:</w:t>
        <w:br/>
        <w:t>- primary validation metric improves by &gt;= minimum_delta, AND</w:t>
        <w:br/>
        <w:t>- no protected priority code regresses beyond tolerance, AND</w:t>
        <w:br/>
        <w:t>- challenge-set regressions remain within tolerance, AND</w:t>
        <w:br/>
        <w:t>- provenance/tests pass, AND</w:t>
        <w:br/>
        <w:t>- cost/latency remain within configured limits.</w:t>
        <w:br/>
        <w:br/>
        <w:t>Otherwise: REVERT.</w:t>
      </w:r>
    </w:p>
    <w:p>
      <w:pPr>
        <w:pStyle w:val="Heading1"/>
      </w:pPr>
      <w:r>
        <w:t>13. Experiment and Audit Records</w:t>
      </w:r>
    </w:p>
    <w:p>
      <w:pPr>
        <w:pStyle w:val="CodeBlock"/>
        <w:spacing w:before="80" w:after="160"/>
      </w:pPr>
      <w:r>
        <w:t>Experiment 0042</w:t>
        <w:br/>
        <w:br/>
        <w:t>Observed failure:</w:t>
        <w:br/>
        <w:t>Future affordability concerns are frequently coded as current financial hardship.</w:t>
        <w:br/>
        <w:br/>
        <w:t>Hypothesis:</w:t>
        <w:br/>
        <w:t>Explicitly separating present cost burden from anticipated affordability will reduce false positives.</w:t>
        <w:br/>
        <w:br/>
        <w:t>Changed:</w:t>
        <w:br/>
        <w:t>- research/codebook_runtime.yaml</w:t>
        <w:br/>
        <w:t>- research/prompts/deductive_coding.md</w:t>
        <w:br/>
        <w:br/>
        <w:t>Results:</w:t>
        <w:br/>
        <w:t>COST_BARRIER F1       0.842 -&gt; 0.871</w:t>
        <w:br/>
        <w:t>Macro F1              0.886 -&gt; 0.891</w:t>
        <w:br/>
        <w:t>Human escalation       9.4% -&gt; 8.9%</w:t>
        <w:br/>
        <w:t>Challenge regressions     0 -&gt; 0</w:t>
        <w:br/>
        <w:br/>
        <w:t>Decision: KEEP</w:t>
        <w:br/>
        <w:t>Commit/tag: exp-0042-cost-temporality</w:t>
      </w:r>
    </w:p>
    <w:p>
      <w:r>
        <w:t>Each experiment should be reproducible from a commit or immutable snapshot and should preserve the model/backend versions used during evaluation.</w:t>
      </w:r>
    </w:p>
    <w:p>
      <w:pPr>
        <w:pStyle w:val="Heading1"/>
      </w:pPr>
      <w:r>
        <w:t>14. Human Feedback and Learning</w:t>
      </w:r>
    </w:p>
    <w:p>
      <w:r>
        <w:t>Human corrections are valuable development signals, but they should not be dumped directly into the validation benchmark. Doing so would contaminate future measurements.</w:t>
      </w:r>
    </w:p>
    <w:p>
      <w:pPr>
        <w:pStyle w:val="CodeBlock"/>
        <w:spacing w:before="80" w:after="160"/>
      </w:pPr>
      <w:r>
        <w:t>Researcher correction</w:t>
        <w:br/>
        <w:t xml:space="preserve">       |</w:t>
        <w:br/>
        <w:t xml:space="preserve">       v</w:t>
        <w:br/>
        <w:t>Structured feedback event</w:t>
        <w:br/>
        <w:t xml:space="preserve">       |</w:t>
        <w:br/>
        <w:t xml:space="preserve">       v</w:t>
        <w:br/>
        <w:t>Feedback pool</w:t>
        <w:br/>
        <w:t xml:space="preserve">       |</w:t>
        <w:br/>
        <w:t xml:space="preserve">       +--&gt; error clustering</w:t>
        <w:br/>
        <w:t xml:space="preserve">       +--&gt; candidate examples</w:t>
        <w:br/>
        <w:t xml:space="preserve">       +--&gt; codebook discussion</w:t>
        <w:br/>
        <w:t xml:space="preserve">       +--&gt; future benchmark refresh</w:t>
        <w:br/>
        <w:t xml:space="preserve">       |</w:t>
        <w:br/>
        <w:t xml:space="preserve">       v</w:t>
        <w:br/>
        <w:t>Researcher-approved incorporation</w:t>
      </w:r>
    </w:p>
    <w:p>
      <w:r>
        <w:t>The application should distinguish between a correction to one coding event and a change to the conceptual meaning of a code. The former can be captured immediately; the latter requires explicit codebook-version creation.</w:t>
      </w:r>
    </w:p>
    <w:p>
      <w:pPr>
        <w:pStyle w:val="Heading1"/>
      </w:pPr>
      <w:r>
        <w:t>15. Evidence-Backed Analytic Assistant</w:t>
      </w:r>
    </w:p>
    <w:p>
      <w:r>
        <w:t>An AI assistant can sit on top of the structured research environment, but its job is different from bulk coding. It should answer analytic questions by executing queries over the project, retrieving the relevant evidence, and producing interpretations grounded in that evidence.</w:t>
      </w:r>
    </w:p>
    <w:p>
      <w:pPr>
        <w:pStyle w:val="Heading2"/>
      </w:pPr>
      <w:r>
        <w:t>15.1 Example interactions</w:t>
      </w:r>
    </w:p>
    <w:p>
      <w:pPr>
        <w:pStyle w:val="ListBullet"/>
      </w:pPr>
      <w:r>
        <w:t>"Why are participants losing trust?" -&gt; retrieve all relevant coded passages, cluster mechanisms, synthesize, and link every claim to excerpts.</w:t>
      </w:r>
    </w:p>
    <w:p>
      <w:pPr>
        <w:pStyle w:val="ListBullet"/>
      </w:pPr>
      <w:r>
        <w:t>"Compare this theme between new and experienced users." -&gt; execute a case/attribute matrix before generating prose.</w:t>
      </w:r>
    </w:p>
    <w:p>
      <w:pPr>
        <w:pStyle w:val="ListBullet"/>
      </w:pPr>
      <w:r>
        <w:t>"Are we conflating distrust with dissatisfaction?" -&gt; compare code definitions, co-coded passages, disagreement cases, and false-positive clusters.</w:t>
      </w:r>
    </w:p>
    <w:p>
      <w:pPr>
        <w:pStyle w:val="ListBullet"/>
      </w:pPr>
      <w:r>
        <w:t>"Show counterexamples to this emerging theme." -&gt; intentionally retrieve passages that contradict the dominant pattern.</w:t>
      </w:r>
    </w:p>
    <w:p>
      <w:pPr>
        <w:pStyle w:val="ListBullet"/>
      </w:pPr>
      <w:r>
        <w:t>"Draft a memo on barriers to adoption." -&gt; use project codes and source citations rather than general model knowledge.</w:t>
      </w:r>
    </w:p>
    <w:p>
      <w:pPr>
        <w:pStyle w:val="Heading1"/>
      </w:pPr>
      <w:r>
        <w:t>16. Privacy, Security, and Sensitive Data</w:t>
      </w:r>
    </w:p>
    <w:p>
      <w:r>
        <w:t>Qualitative datasets frequently contain sensitive material. Local-first architecture is therefore a product requirement, not merely a deployment preference.</w:t>
      </w:r>
    </w:p>
    <w:p>
      <w:pPr>
        <w:pStyle w:val="ListBullet"/>
      </w:pPr>
      <w:r>
        <w:t>Projects should open and remain inspectable without network access.</w:t>
      </w:r>
    </w:p>
    <w:p>
      <w:pPr>
        <w:pStyle w:val="ListBullet"/>
      </w:pPr>
      <w:r>
        <w:t>External model calls must be explicitly configurable at project level.</w:t>
      </w:r>
    </w:p>
    <w:p>
      <w:pPr>
        <w:pStyle w:val="ListBullet"/>
      </w:pPr>
      <w:r>
        <w:t>The routing layer must know whether a source or project may leave the device.</w:t>
      </w:r>
    </w:p>
    <w:p>
      <w:pPr>
        <w:pStyle w:val="ListBullet"/>
      </w:pPr>
      <w:r>
        <w:t>Secrets and API keys must be stored outside project exports.</w:t>
      </w:r>
    </w:p>
    <w:p>
      <w:pPr>
        <w:pStyle w:val="ListBullet"/>
      </w:pPr>
      <w:r>
        <w:t>Exports should be able to exclude raw source text while retaining aggregate analysis where appropriate.</w:t>
      </w:r>
    </w:p>
    <w:p>
      <w:pPr>
        <w:pStyle w:val="ListBullet"/>
      </w:pPr>
      <w:r>
        <w:t>Audit logs should record when external inference was used and which backend received a segment.</w:t>
      </w:r>
    </w:p>
    <w:p>
      <w:pPr>
        <w:pStyle w:val="ListBullet"/>
      </w:pPr>
      <w:r>
        <w:t>Optional redaction or pseudonymization should occur before external inference when configured.</w:t>
      </w:r>
    </w:p>
    <w:p>
      <w:pPr>
        <w:pStyle w:val="ListBullet"/>
      </w:pPr>
      <w:r>
        <w:t>The system should never claim that local operation alone guarantees compliance with a particular legal or institutional regime.</w:t>
      </w:r>
    </w:p>
    <w:p>
      <w:pPr>
        <w:pStyle w:val="Heading1"/>
      </w:pPr>
      <w:r>
        <w:t>17. Proposed Repository Structure</w:t>
      </w:r>
    </w:p>
    <w:p>
      <w:pPr>
        <w:pStyle w:val="CodeBlock"/>
        <w:spacing w:before="80" w:after="160"/>
      </w:pPr>
      <w:r>
        <w:t>qualia/</w:t>
        <w:br/>
        <w:t>├── AGENTS.md</w:t>
        <w:br/>
        <w:t>├── CLAUDE.md</w:t>
        <w:br/>
        <w:t>├── README.md</w:t>
        <w:br/>
        <w:t>├── docs/</w:t>
        <w:br/>
        <w:t>│   ├── AGENT_PROTOCOL.md</w:t>
        <w:br/>
        <w:t>│   ├── IMPROVEMENT.md</w:t>
        <w:br/>
        <w:t>│   ├── METHODOLOGY.md</w:t>
        <w:br/>
        <w:t>│   └── ARCHITECTURE.md</w:t>
        <w:br/>
        <w:t>├── apps/</w:t>
        <w:br/>
        <w:t>│   └── desktop/              # React + Tauri</w:t>
        <w:br/>
        <w:t>├── core/</w:t>
        <w:br/>
        <w:t>│   ├── research/             # domain model and project operations</w:t>
        <w:br/>
        <w:t>│   ├── coding/               # coding pipeline</w:t>
        <w:br/>
        <w:t>│   ├── queries/              # matrices, co-occurrence, retrieval</w:t>
        <w:br/>
        <w:t>│   ├── provenance/           # immutable audit model</w:t>
        <w:br/>
        <w:t>│   └── export/</w:t>
        <w:br/>
        <w:t>├── ai/</w:t>
        <w:br/>
        <w:t>│   ├── backends/</w:t>
        <w:br/>
        <w:t>│   │   ├── llm.py</w:t>
        <w:br/>
        <w:t>│   │   ├── jev.py</w:t>
        <w:br/>
        <w:t>│   │   └── rules.py</w:t>
        <w:br/>
        <w:t>│   ├── routing/</w:t>
        <w:br/>
        <w:t>│   └── prompts/</w:t>
        <w:br/>
        <w:t>├── improvement/</w:t>
        <w:br/>
        <w:t>│   ├── runner.py</w:t>
        <w:br/>
        <w:t>│   ├── experiment.py</w:t>
        <w:br/>
        <w:t>│   ├── evaluator.py</w:t>
        <w:br/>
        <w:t>│   └── policies.py</w:t>
        <w:br/>
        <w:t>├── research/                 # mutable project/runtime research config</w:t>
        <w:br/>
        <w:t>│   ├── codebook.yaml</w:t>
        <w:br/>
        <w:t>│   ├── segmentation.yaml</w:t>
        <w:br/>
        <w:t>│   └── routing.yaml</w:t>
        <w:br/>
        <w:t>├── benchmarks/</w:t>
        <w:br/>
        <w:t>│   ├── development/</w:t>
        <w:br/>
        <w:t>│   ├── validation/</w:t>
        <w:br/>
        <w:t>│   └── protected_test/</w:t>
        <w:br/>
        <w:t>├── tests/</w:t>
        <w:br/>
        <w:t>└── qualia                   # CLI entrypoint</w:t>
      </w:r>
    </w:p>
    <w:p>
      <w:pPr>
        <w:pStyle w:val="Heading1"/>
      </w:pPr>
      <w:r>
        <w:t>18. Command-Line Interface</w:t>
      </w:r>
    </w:p>
    <w:p>
      <w:pPr>
        <w:pStyle w:val="CodeBlock"/>
        <w:spacing w:before="80" w:after="160"/>
      </w:pPr>
      <w:r>
        <w:t>qualia init my-project</w:t>
        <w:br/>
        <w:t>qualia open my-project</w:t>
        <w:br/>
        <w:t>qualia import ./transcripts</w:t>
        <w:br/>
        <w:t>qualia code --codebook current</w:t>
        <w:br/>
        <w:t>qualia query --matrix code-by-case</w:t>
        <w:br/>
        <w:t>qualia evaluate</w:t>
        <w:br/>
        <w:t>qualia experiment run</w:t>
        <w:br/>
        <w:t>qualia improve --agent claude</w:t>
        <w:br/>
        <w:t>qualia improve --agent codex</w:t>
        <w:br/>
        <w:t>qualia improve --agent codex --classifier jev</w:t>
        <w:br/>
        <w:t>qualia audit</w:t>
        <w:br/>
        <w:t>qualia export --bundle reproducibility</w:t>
      </w:r>
    </w:p>
    <w:p>
      <w:r>
        <w:t>The CLI is important even for a desktop-first application because it provides a stable interface for Claude Code, Codex, tests, CI, and advanced users. The agents should call the CLI rather than directly manipulating the database wherever practical.</w:t>
      </w:r>
    </w:p>
    <w:p>
      <w:pPr>
        <w:pStyle w:val="Heading1"/>
      </w:pPr>
      <w:r>
        <w:t>19. User Interface Concept</w:t>
      </w:r>
    </w:p>
    <w:p>
      <w:r>
        <w:t>The initial UI should feel like a research application rather than an AI chat interface. Chat may be present, but it should not be the primary representation of the project.</w:t>
      </w:r>
    </w:p>
    <w:p>
      <w:pPr>
        <w:pStyle w:val="Heading2"/>
      </w:pPr>
      <w:r>
        <w:t>19.1 Main workspace</w:t>
      </w:r>
    </w:p>
    <w:p>
      <w:pPr>
        <w:pStyle w:val="ListBullet"/>
      </w:pPr>
      <w:r>
        <w:t>Left panel: sources, cases, codes, saved queries, memos.</w:t>
      </w:r>
    </w:p>
    <w:p>
      <w:pPr>
        <w:pStyle w:val="ListBullet"/>
      </w:pPr>
      <w:r>
        <w:t>Center: source viewer/transcript with selectable spans and visible coding indicators.</w:t>
      </w:r>
    </w:p>
    <w:p>
      <w:pPr>
        <w:pStyle w:val="ListBullet"/>
      </w:pPr>
      <w:r>
        <w:t>Right panel: current codes, suggestions, confidence/disagreement, annotations, provenance.</w:t>
      </w:r>
    </w:p>
    <w:p>
      <w:pPr>
        <w:pStyle w:val="ListBullet"/>
      </w:pPr>
      <w:r>
        <w:t>Bottom or secondary workspace: matrices, query results, visualizations, experiment history.</w:t>
      </w:r>
    </w:p>
    <w:p>
      <w:pPr>
        <w:pStyle w:val="ListBullet"/>
      </w:pPr>
      <w:r>
        <w:t>Global command/search bar: navigate entities and ask evidence-backed analytic questions.</w:t>
      </w:r>
    </w:p>
    <w:p>
      <w:pPr>
        <w:pStyle w:val="Heading2"/>
      </w:pPr>
      <w:r>
        <w:t>19.2 AI review queue</w:t>
      </w:r>
    </w:p>
    <w:p>
      <w:pPr>
        <w:pStyle w:val="ListBullet"/>
      </w:pPr>
      <w:r>
        <w:t>Ambiguous excerpts</w:t>
      </w:r>
    </w:p>
    <w:p>
      <w:pPr>
        <w:pStyle w:val="ListBullet"/>
      </w:pPr>
      <w:r>
        <w:t>Low-confidence decisions</w:t>
      </w:r>
    </w:p>
    <w:p>
      <w:pPr>
        <w:pStyle w:val="ListBullet"/>
      </w:pPr>
      <w:r>
        <w:t>LLM/Jev disagreement</w:t>
      </w:r>
    </w:p>
    <w:p>
      <w:pPr>
        <w:pStyle w:val="ListBullet"/>
      </w:pPr>
      <w:r>
        <w:t>Newly discovered out-of-distribution patterns</w:t>
      </w:r>
    </w:p>
    <w:p>
      <w:pPr>
        <w:pStyle w:val="ListBullet"/>
      </w:pPr>
      <w:r>
        <w:t>Cases impacted by a changed code definition</w:t>
      </w:r>
    </w:p>
    <w:p>
      <w:pPr>
        <w:pStyle w:val="ListBullet"/>
      </w:pPr>
      <w:r>
        <w:t>Random quality-control sample</w:t>
      </w:r>
    </w:p>
    <w:p>
      <w:pPr>
        <w:pStyle w:val="Heading1"/>
      </w:pPr>
      <w:r>
        <w:t>20. Phased Implementation Plan</w:t>
      </w:r>
    </w:p>
    <w:p>
      <w:pPr>
        <w:pStyle w:val="Heading3"/>
      </w:pPr>
      <w:r>
        <w:t>Phase 0 - Architecture and project skeleton</w:t>
      </w:r>
    </w:p>
    <w:p>
      <w:r>
        <w:t>Define domain model, provenance rules, protected/mutable scopes, CLI conventions, agent protocol, test strategy, and repository layout. No autonomous improvement until these foundations are stable.</w:t>
      </w:r>
    </w:p>
    <w:p>
      <w:pPr>
        <w:pStyle w:val="Heading3"/>
      </w:pPr>
      <w:r>
        <w:t>Phase 1 - Core qualitative workspace</w:t>
      </w:r>
    </w:p>
    <w:p>
      <w:r>
        <w:t>Project creation; source import; text viewer; manual coding; hierarchical codebook; cases and attributes; memos; basic retrieval; SQLite persistence; CSV/JSON export.</w:t>
      </w:r>
    </w:p>
    <w:p>
      <w:pPr>
        <w:pStyle w:val="Heading3"/>
      </w:pPr>
      <w:r>
        <w:t>Phase 2 - AI-assisted coding</w:t>
      </w:r>
    </w:p>
    <w:p>
      <w:r>
        <w:t>General LLM backend; structured coding output; suggestions and review queue; model provenance; prompt versioning; evidence-backed summaries.</w:t>
      </w:r>
    </w:p>
    <w:p>
      <w:pPr>
        <w:pStyle w:val="Heading3"/>
      </w:pPr>
      <w:r>
        <w:t>Phase 3 - Analytical tools</w:t>
      </w:r>
    </w:p>
    <w:p>
      <w:r>
        <w:t>Code matrices; co-occurrence; case/attribute comparisons; framework matrices; saved queries; core visualizations; DuckDB analytical layer.</w:t>
      </w:r>
    </w:p>
    <w:p>
      <w:pPr>
        <w:pStyle w:val="Heading3"/>
      </w:pPr>
      <w:r>
        <w:t>Phase 4 - Optional Jev backend</w:t>
      </w:r>
    </w:p>
    <w:p>
      <w:r>
        <w:t>Jev adapter; schema compiler; confidence handling; routing between Jev, LLM, rules, and human review; graceful fallback.</w:t>
      </w:r>
    </w:p>
    <w:p>
      <w:pPr>
        <w:pStyle w:val="Heading3"/>
      </w:pPr>
      <w:r>
        <w:t>Phase 5 - Evaluation harness</w:t>
      </w:r>
    </w:p>
    <w:p>
      <w:r>
        <w:t>Gold-set tooling; development/validation/test splits; metrics; challenge sets; protected evaluation runner; regression policy.</w:t>
      </w:r>
    </w:p>
    <w:p>
      <w:pPr>
        <w:pStyle w:val="Heading3"/>
      </w:pPr>
      <w:r>
        <w:t>Phase 6 - Autoresearch loop</w:t>
      </w:r>
    </w:p>
    <w:p>
      <w:r>
        <w:t>Hypothesis template; experiment runner; file-scope enforcement; keep/revert; experiment database; automatic iterative runs under Claude Code or Codex.</w:t>
      </w:r>
    </w:p>
    <w:p>
      <w:pPr>
        <w:pStyle w:val="Heading3"/>
      </w:pPr>
      <w:r>
        <w:t>Phase 7 - Methodology assistant</w:t>
      </w:r>
    </w:p>
    <w:p>
      <w:r>
        <w:t>Error clustering; proposed code splits/merges; new-theme proposals; explicit approval workflow; codebook migration tools.</w:t>
      </w:r>
    </w:p>
    <w:p>
      <w:pPr>
        <w:pStyle w:val="Heading3"/>
      </w:pPr>
      <w:r>
        <w:t>Phase 8 - Hardening</w:t>
      </w:r>
    </w:p>
    <w:p>
      <w:r>
        <w:t>Large-corpus performance, import robustness, project recovery, privacy controls, reproducibility bundles, plugin/backend interface, packaging and documentation.</w:t>
      </w:r>
    </w:p>
    <w:p>
      <w:pPr>
        <w:pStyle w:val="Heading1"/>
      </w:pPr>
      <w:r>
        <w:t>21. Recommended MVP Boundary</w:t>
      </w:r>
    </w:p>
    <w:p>
      <w:r>
        <w:t>The first useful release should not attempt full NVivo parity. It should prove that the research model, coding workflow, evidence model, and autonomous improvement architecture are sound.</w:t>
      </w:r>
    </w:p>
    <w:p>
      <w:pPr>
        <w:pStyle w:val="ListBullet"/>
      </w:pPr>
      <w:r>
        <w:t>Desktop project with TXT/Markdown/CSV transcript import</w:t>
      </w:r>
    </w:p>
    <w:p>
      <w:pPr>
        <w:pStyle w:val="ListBullet"/>
      </w:pPr>
      <w:r>
        <w:t>Manual span coding with hierarchical codebook</w:t>
      </w:r>
    </w:p>
    <w:p>
      <w:pPr>
        <w:pStyle w:val="ListBullet"/>
      </w:pPr>
      <w:r>
        <w:t>Cases and simple attributes</w:t>
      </w:r>
    </w:p>
    <w:p>
      <w:pPr>
        <w:pStyle w:val="ListBullet"/>
      </w:pPr>
      <w:r>
        <w:t>Code retrieval and code-by-case matrix</w:t>
      </w:r>
    </w:p>
    <w:p>
      <w:pPr>
        <w:pStyle w:val="ListBullet"/>
      </w:pPr>
      <w:r>
        <w:t>General LLM coding backend with structured outputs</w:t>
      </w:r>
    </w:p>
    <w:p>
      <w:pPr>
        <w:pStyle w:val="ListBullet"/>
      </w:pPr>
      <w:r>
        <w:t>Optional Jev backend behind the same interface</w:t>
      </w:r>
    </w:p>
    <w:p>
      <w:pPr>
        <w:pStyle w:val="ListBullet"/>
      </w:pPr>
      <w:r>
        <w:t>Review queue for uncertain coding</w:t>
      </w:r>
    </w:p>
    <w:p>
      <w:pPr>
        <w:pStyle w:val="ListBullet"/>
      </w:pPr>
      <w:r>
        <w:t>Immutable coding-event provenance</w:t>
      </w:r>
    </w:p>
    <w:p>
      <w:pPr>
        <w:pStyle w:val="ListBullet"/>
      </w:pPr>
      <w:r>
        <w:t>Human-coded validation set</w:t>
      </w:r>
    </w:p>
    <w:p>
      <w:pPr>
        <w:pStyle w:val="ListBullet"/>
      </w:pPr>
      <w:r>
        <w:t>Evaluation command with per-code metrics</w:t>
      </w:r>
    </w:p>
    <w:p>
      <w:pPr>
        <w:pStyle w:val="ListBullet"/>
      </w:pPr>
      <w:r>
        <w:t>One autonomous improvement loop that can modify prompts/schema and keep or revert</w:t>
      </w:r>
    </w:p>
    <w:p>
      <w:pPr>
        <w:pStyle w:val="ListBullet"/>
      </w:pPr>
      <w:r>
        <w:t>Claude Code and Codex both able to run the same loop through repository instructions</w:t>
      </w:r>
    </w:p>
    <w:tbl>
      <w:tblPr>
        <w:tblW w:type="auto" w:w="0"/>
        <w:jc w:val="center"/>
        <w:tblLayout w:type="fixed"/>
        <w:tblLook w:firstColumn="1" w:firstRow="1" w:lastColumn="0" w:lastRow="0" w:noHBand="0" w:noVBand="1" w:val="04A0"/>
      </w:tblPr>
      <w:tblGrid>
        <w:gridCol w:w="9792"/>
      </w:tblGrid>
      <w:tr>
        <w:tc>
          <w:tcPr>
            <w:tcW w:type="dxa" w:w="9504"/>
            <w:shd w:fill="EDF3F8"/>
            <w:vAlign w:val="center"/>
          </w:tcPr>
          <w:p>
            <w:pPr>
              <w:spacing w:after="40"/>
            </w:pPr>
            <w:r>
              <w:rPr>
                <w:b/>
                <w:color w:val="234765"/>
              </w:rPr>
              <w:t>MVP success test</w:t>
            </w:r>
            <w:r>
              <w:br/>
              <w:t>A researcher can create a project, manually code a seed set, automate the remaining coding, inspect and correct the results, run an agent-driven experiment that measurably improves validation performance, and reproduce exactly which system version produced any coding decision.</w:t>
            </w:r>
          </w:p>
        </w:tc>
      </w:tr>
    </w:tbl>
    <w:p>
      <w:pPr>
        <w:spacing w:after="0"/>
      </w:pPr>
    </w:p>
    <w:p>
      <w:pPr>
        <w:pStyle w:val="Heading1"/>
      </w:pPr>
      <w:r>
        <w:t>22. Major Risks and Mitigations</w:t>
      </w:r>
    </w:p>
    <w:tbl>
      <w:tblPr>
        <w:tblW w:type="auto" w:w="0"/>
        <w:jc w:val="center"/>
        <w:tblLook w:firstColumn="1" w:firstRow="1" w:lastColumn="0" w:lastRow="0" w:noHBand="0" w:noVBand="1" w:val="04A0"/>
      </w:tblPr>
      <w:tblGrid>
        <w:gridCol w:w="3264"/>
        <w:gridCol w:w="3264"/>
        <w:gridCol w:w="3264"/>
      </w:tblGrid>
      <w:tr>
        <w:tc>
          <w:tcPr>
            <w:tcW w:type="dxa" w:w="3264"/>
            <w:shd w:fill="17324D"/>
            <w:vAlign w:val="center"/>
          </w:tcPr>
          <w:p>
            <w:pPr>
              <w:spacing w:after="40"/>
            </w:pPr>
            <w:r>
              <w:rPr>
                <w:color w:val="FFFFFF"/>
              </w:rPr>
              <w:t>Risk</w:t>
            </w:r>
          </w:p>
        </w:tc>
        <w:tc>
          <w:tcPr>
            <w:tcW w:type="dxa" w:w="3264"/>
            <w:shd w:fill="17324D"/>
            <w:vAlign w:val="center"/>
          </w:tcPr>
          <w:p>
            <w:pPr>
              <w:spacing w:after="40"/>
            </w:pPr>
            <w:r>
              <w:rPr>
                <w:color w:val="FFFFFF"/>
              </w:rPr>
              <w:t>Failure mode</w:t>
            </w:r>
          </w:p>
        </w:tc>
        <w:tc>
          <w:tcPr>
            <w:tcW w:type="dxa" w:w="3264"/>
            <w:shd w:fill="17324D"/>
            <w:vAlign w:val="center"/>
          </w:tcPr>
          <w:p>
            <w:pPr>
              <w:spacing w:after="40"/>
            </w:pPr>
            <w:r>
              <w:rPr>
                <w:color w:val="FFFFFF"/>
              </w:rPr>
              <w:t>Mitigation</w:t>
            </w:r>
          </w:p>
        </w:tc>
      </w:tr>
      <w:tr>
        <w:tc>
          <w:tcPr>
            <w:tcW w:type="dxa" w:w="3264"/>
            <w:vAlign w:val="center"/>
          </w:tcPr>
          <w:p>
            <w:pPr>
              <w:spacing w:after="40"/>
            </w:pPr>
            <w:r>
              <w:t>Benchmark overfitting</w:t>
            </w:r>
          </w:p>
        </w:tc>
        <w:tc>
          <w:tcPr>
            <w:tcW w:type="dxa" w:w="3264"/>
            <w:vAlign w:val="center"/>
          </w:tcPr>
          <w:p>
            <w:pPr>
              <w:spacing w:after="40"/>
            </w:pPr>
            <w:r>
              <w:t>Autoresearch optimizes validation cases rather than general behavior.</w:t>
            </w:r>
          </w:p>
        </w:tc>
        <w:tc>
          <w:tcPr>
            <w:tcW w:type="dxa" w:w="3264"/>
            <w:vAlign w:val="center"/>
          </w:tcPr>
          <w:p>
            <w:pPr>
              <w:spacing w:after="40"/>
            </w:pPr>
            <w:r>
              <w:t>Protected test set, challenge sets, limited evaluation frequency, benchmark refresh process.</w:t>
            </w:r>
          </w:p>
        </w:tc>
      </w:tr>
      <w:tr>
        <w:tc>
          <w:tcPr>
            <w:tcW w:type="dxa" w:w="3264"/>
            <w:vAlign w:val="center"/>
          </w:tcPr>
          <w:p>
            <w:pPr>
              <w:spacing w:after="40"/>
            </w:pPr>
            <w:r>
              <w:t>Methodological drift</w:t>
            </w:r>
          </w:p>
        </w:tc>
        <w:tc>
          <w:tcPr>
            <w:tcW w:type="dxa" w:w="3264"/>
            <w:vAlign w:val="center"/>
          </w:tcPr>
          <w:p>
            <w:pPr>
              <w:spacing w:after="40"/>
            </w:pPr>
            <w:r>
              <w:t>Agent improves metrics by changing conceptual meaning.</w:t>
            </w:r>
          </w:p>
        </w:tc>
        <w:tc>
          <w:tcPr>
            <w:tcW w:type="dxa" w:w="3264"/>
            <w:vAlign w:val="center"/>
          </w:tcPr>
          <w:p>
            <w:pPr>
              <w:spacing w:after="40"/>
            </w:pPr>
            <w:r>
              <w:t>Protected methodology file, explicit approval gates, codebook versioning.</w:t>
            </w:r>
          </w:p>
        </w:tc>
      </w:tr>
      <w:tr>
        <w:tc>
          <w:tcPr>
            <w:tcW w:type="dxa" w:w="3264"/>
            <w:vAlign w:val="center"/>
          </w:tcPr>
          <w:p>
            <w:pPr>
              <w:spacing w:after="40"/>
            </w:pPr>
            <w:r>
              <w:t>Self-evaluation bias</w:t>
            </w:r>
          </w:p>
        </w:tc>
        <w:tc>
          <w:tcPr>
            <w:tcW w:type="dxa" w:w="3264"/>
            <w:vAlign w:val="center"/>
          </w:tcPr>
          <w:p>
            <w:pPr>
              <w:spacing w:after="40"/>
            </w:pPr>
            <w:r>
              <w:t>The same model labels, judges, and rewards itself.</w:t>
            </w:r>
          </w:p>
        </w:tc>
        <w:tc>
          <w:tcPr>
            <w:tcW w:type="dxa" w:w="3264"/>
            <w:vAlign w:val="center"/>
          </w:tcPr>
          <w:p>
            <w:pPr>
              <w:spacing w:after="40"/>
            </w:pPr>
            <w:r>
              <w:t>Human-coded anchors, deterministic metric calculation, separate evaluation layer.</w:t>
            </w:r>
          </w:p>
        </w:tc>
      </w:tr>
      <w:tr>
        <w:tc>
          <w:tcPr>
            <w:tcW w:type="dxa" w:w="3264"/>
            <w:vAlign w:val="center"/>
          </w:tcPr>
          <w:p>
            <w:pPr>
              <w:spacing w:after="40"/>
            </w:pPr>
            <w:r>
              <w:t>False confidence</w:t>
            </w:r>
          </w:p>
        </w:tc>
        <w:tc>
          <w:tcPr>
            <w:tcW w:type="dxa" w:w="3264"/>
            <w:vAlign w:val="center"/>
          </w:tcPr>
          <w:p>
            <w:pPr>
              <w:spacing w:after="40"/>
            </w:pPr>
            <w:r>
              <w:t>Structured output appears more reliable than it is.</w:t>
            </w:r>
          </w:p>
        </w:tc>
        <w:tc>
          <w:tcPr>
            <w:tcW w:type="dxa" w:w="3264"/>
            <w:vAlign w:val="center"/>
          </w:tcPr>
          <w:p>
            <w:pPr>
              <w:spacing w:after="40"/>
            </w:pPr>
            <w:r>
              <w:t>Calibration analysis, uncertainty queue, disagreement signals, human sampling.</w:t>
            </w:r>
          </w:p>
        </w:tc>
      </w:tr>
      <w:tr>
        <w:tc>
          <w:tcPr>
            <w:tcW w:type="dxa" w:w="3264"/>
            <w:vAlign w:val="center"/>
          </w:tcPr>
          <w:p>
            <w:pPr>
              <w:spacing w:after="40"/>
            </w:pPr>
            <w:r>
              <w:t>Provider lock-in</w:t>
            </w:r>
          </w:p>
        </w:tc>
        <w:tc>
          <w:tcPr>
            <w:tcW w:type="dxa" w:w="3264"/>
            <w:vAlign w:val="center"/>
          </w:tcPr>
          <w:p>
            <w:pPr>
              <w:spacing w:after="40"/>
            </w:pPr>
            <w:r>
              <w:t>Research workflow depends on one model feature.</w:t>
            </w:r>
          </w:p>
        </w:tc>
        <w:tc>
          <w:tcPr>
            <w:tcW w:type="dxa" w:w="3264"/>
            <w:vAlign w:val="center"/>
          </w:tcPr>
          <w:p>
            <w:pPr>
              <w:spacing w:after="40"/>
            </w:pPr>
            <w:r>
              <w:t>Backend interfaces and repository-level agent protocol.</w:t>
            </w:r>
          </w:p>
        </w:tc>
      </w:tr>
      <w:tr>
        <w:tc>
          <w:tcPr>
            <w:tcW w:type="dxa" w:w="3264"/>
            <w:vAlign w:val="center"/>
          </w:tcPr>
          <w:p>
            <w:pPr>
              <w:spacing w:after="40"/>
            </w:pPr>
            <w:r>
              <w:t>Data leakage</w:t>
            </w:r>
          </w:p>
        </w:tc>
        <w:tc>
          <w:tcPr>
            <w:tcW w:type="dxa" w:w="3264"/>
            <w:vAlign w:val="center"/>
          </w:tcPr>
          <w:p>
            <w:pPr>
              <w:spacing w:after="40"/>
            </w:pPr>
            <w:r>
              <w:t>Sensitive text is sent to external APIs unexpectedly.</w:t>
            </w:r>
          </w:p>
        </w:tc>
        <w:tc>
          <w:tcPr>
            <w:tcW w:type="dxa" w:w="3264"/>
            <w:vAlign w:val="center"/>
          </w:tcPr>
          <w:p>
            <w:pPr>
              <w:spacing w:after="40"/>
            </w:pPr>
            <w:r>
              <w:t>Per-project egress policy, local mode, routing constraints, audit records.</w:t>
            </w:r>
          </w:p>
        </w:tc>
      </w:tr>
      <w:tr>
        <w:tc>
          <w:tcPr>
            <w:tcW w:type="dxa" w:w="3264"/>
            <w:vAlign w:val="center"/>
          </w:tcPr>
          <w:p>
            <w:pPr>
              <w:spacing w:after="40"/>
            </w:pPr>
            <w:r>
              <w:t>Scope explosion</w:t>
            </w:r>
          </w:p>
        </w:tc>
        <w:tc>
          <w:tcPr>
            <w:tcW w:type="dxa" w:w="3264"/>
            <w:vAlign w:val="center"/>
          </w:tcPr>
          <w:p>
            <w:pPr>
              <w:spacing w:after="40"/>
            </w:pPr>
            <w:r>
              <w:t>Attempt to clone all of NVivo before core workflow works.</w:t>
            </w:r>
          </w:p>
        </w:tc>
        <w:tc>
          <w:tcPr>
            <w:tcW w:type="dxa" w:w="3264"/>
            <w:vAlign w:val="center"/>
          </w:tcPr>
          <w:p>
            <w:pPr>
              <w:spacing w:after="40"/>
            </w:pPr>
            <w:r>
              <w:t>MVP boundary and phased capability additions.</w:t>
            </w:r>
          </w:p>
        </w:tc>
      </w:tr>
      <w:tr>
        <w:tc>
          <w:tcPr>
            <w:tcW w:type="dxa" w:w="3264"/>
            <w:vAlign w:val="center"/>
          </w:tcPr>
          <w:p>
            <w:pPr>
              <w:spacing w:after="40"/>
            </w:pPr>
            <w:r>
              <w:t>Vibe-coded structural debt</w:t>
            </w:r>
          </w:p>
        </w:tc>
        <w:tc>
          <w:tcPr>
            <w:tcW w:type="dxa" w:w="3264"/>
            <w:vAlign w:val="center"/>
          </w:tcPr>
          <w:p>
            <w:pPr>
              <w:spacing w:after="40"/>
            </w:pPr>
            <w:r>
              <w:t>Fast UI progress hides a weak data model.</w:t>
            </w:r>
          </w:p>
        </w:tc>
        <w:tc>
          <w:tcPr>
            <w:tcW w:type="dxa" w:w="3264"/>
            <w:vAlign w:val="center"/>
          </w:tcPr>
          <w:p>
            <w:pPr>
              <w:spacing w:after="40"/>
            </w:pPr>
            <w:r>
              <w:t>Lock domain/provenance model first; require migrations and automated tests.</w:t>
            </w:r>
          </w:p>
        </w:tc>
      </w:tr>
    </w:tbl>
    <w:p>
      <w:pPr>
        <w:pStyle w:val="Heading1"/>
      </w:pPr>
      <w:r>
        <w:t>23. Engineering Quality Gates</w:t>
      </w:r>
    </w:p>
    <w:p>
      <w:pPr>
        <w:pStyle w:val="ListBullet"/>
      </w:pPr>
      <w:r>
        <w:t>Every schema migration is tested and reversible or recoverable.</w:t>
      </w:r>
    </w:p>
    <w:p>
      <w:pPr>
        <w:pStyle w:val="ListBullet"/>
      </w:pPr>
      <w:r>
        <w:t>Every coding event is traceable to a source segment, codebook version, and actor.</w:t>
      </w:r>
    </w:p>
    <w:p>
      <w:pPr>
        <w:pStyle w:val="ListBullet"/>
      </w:pPr>
      <w:r>
        <w:t>Every AI backend has contract tests using the same classification interface.</w:t>
      </w:r>
    </w:p>
    <w:p>
      <w:pPr>
        <w:pStyle w:val="ListBullet"/>
      </w:pPr>
      <w:r>
        <w:t>Claude Code and Codex each pass a smoke test that executes the canonical experiment workflow.</w:t>
      </w:r>
    </w:p>
    <w:p>
      <w:pPr>
        <w:pStyle w:val="ListBullet"/>
      </w:pPr>
      <w:r>
        <w:t>The improvement loop cannot write to protected paths under normal operation.</w:t>
      </w:r>
    </w:p>
    <w:p>
      <w:pPr>
        <w:pStyle w:val="ListBullet"/>
      </w:pPr>
      <w:r>
        <w:t>Evaluation metrics are calculated by ordinary code, not accepted from model self-report.</w:t>
      </w:r>
    </w:p>
    <w:p>
      <w:pPr>
        <w:pStyle w:val="ListBullet"/>
      </w:pPr>
      <w:r>
        <w:t>A project remains readable when external AI services are unavailable.</w:t>
      </w:r>
    </w:p>
    <w:p>
      <w:pPr>
        <w:pStyle w:val="ListBullet"/>
      </w:pPr>
      <w:r>
        <w:t>Exports include enough metadata to explain how coding was produced.</w:t>
      </w:r>
    </w:p>
    <w:p>
      <w:pPr>
        <w:pStyle w:val="ListBullet"/>
      </w:pPr>
      <w:r>
        <w:t>Failed experiments leave the repository and project database in a clean state.</w:t>
      </w:r>
    </w:p>
    <w:p>
      <w:pPr>
        <w:pStyle w:val="Heading1"/>
      </w:pPr>
      <w:r>
        <w:t>24. Longer-Term Extensions</w:t>
      </w:r>
    </w:p>
    <w:p>
      <w:pPr>
        <w:pStyle w:val="ListBullet"/>
      </w:pPr>
      <w:r>
        <w:t>Audio/video transcription with timestamp-linked coding</w:t>
      </w:r>
    </w:p>
    <w:p>
      <w:pPr>
        <w:pStyle w:val="ListBullet"/>
      </w:pPr>
      <w:r>
        <w:t>Collaborative multi-researcher projects and inter-coder agreement workflows</w:t>
      </w:r>
    </w:p>
    <w:p>
      <w:pPr>
        <w:pStyle w:val="ListBullet"/>
      </w:pPr>
      <w:r>
        <w:t>Pluggable local models for fully offline inference</w:t>
      </w:r>
    </w:p>
    <w:p>
      <w:pPr>
        <w:pStyle w:val="ListBullet"/>
      </w:pPr>
      <w:r>
        <w:t>Active-learning selection of the most informative excerpts for human review</w:t>
      </w:r>
    </w:p>
    <w:p>
      <w:pPr>
        <w:pStyle w:val="ListBullet"/>
      </w:pPr>
      <w:r>
        <w:t>Cross-project reusable codebooks and benchmark packs</w:t>
      </w:r>
    </w:p>
    <w:p>
      <w:pPr>
        <w:pStyle w:val="ListBullet"/>
      </w:pPr>
      <w:r>
        <w:t>Version-aware migration when a code splits or merges</w:t>
      </w:r>
    </w:p>
    <w:p>
      <w:pPr>
        <w:pStyle w:val="ListBullet"/>
      </w:pPr>
      <w:r>
        <w:t>Research-report generation with evidence citations</w:t>
      </w:r>
    </w:p>
    <w:p>
      <w:pPr>
        <w:pStyle w:val="ListBullet"/>
      </w:pPr>
      <w:r>
        <w:t>Integration with survey tools, reference managers, and data warehouses</w:t>
      </w:r>
    </w:p>
    <w:p>
      <w:pPr>
        <w:pStyle w:val="ListBullet"/>
      </w:pPr>
      <w:r>
        <w:t>Automated negative-case analysis and deviant-case search</w:t>
      </w:r>
    </w:p>
    <w:p>
      <w:pPr>
        <w:pStyle w:val="ListBullet"/>
      </w:pPr>
      <w:r>
        <w:t>Multilingual coding with language-aware validation</w:t>
      </w:r>
    </w:p>
    <w:p>
      <w:pPr>
        <w:pStyle w:val="ListBullet"/>
      </w:pPr>
      <w:r>
        <w:t>Plugin SDK for alternative classifiers, embedding models, and agent harnesses</w:t>
      </w:r>
    </w:p>
    <w:p>
      <w:pPr>
        <w:pStyle w:val="Heading1"/>
      </w:pPr>
      <w:r>
        <w:t>25. Definition of the Project</w:t>
      </w:r>
    </w:p>
    <w:p>
      <w:r>
        <w:t>Qualia is not simply an NVivo clone with a chatbot attached. It is a qualitative research system in which structured evidence, manual analysis, AI coding, evaluation, and autonomous experimentation are parts of one architecture.</w:t>
      </w:r>
    </w:p>
    <w:p>
      <w:r>
        <w:t>The application should remain useful when no specialized classifier is configured. Claude Code or Codex can each operate the project and run the same self-improvement protocol. Jev or similar models can be introduced as inexpensive structured decision engines where they are advantageous. Human researchers retain authority over conceptual meaning and methodological changes.</w:t>
      </w:r>
    </w:p>
    <w:p>
      <w:r>
        <w:t>The intended result is a system that can become measurably better at executing a particular research team's coding methodology over time without quietly changing what that methodology means.</w:t>
      </w:r>
    </w:p>
    <w:tbl>
      <w:tblPr>
        <w:tblW w:type="auto" w:w="0"/>
        <w:jc w:val="center"/>
        <w:tblLayout w:type="fixed"/>
        <w:tblLook w:firstColumn="1" w:firstRow="1" w:lastColumn="0" w:lastRow="0" w:noHBand="0" w:noVBand="1" w:val="04A0"/>
      </w:tblPr>
      <w:tblGrid>
        <w:gridCol w:w="9792"/>
      </w:tblGrid>
      <w:tr>
        <w:tc>
          <w:tcPr>
            <w:tcW w:type="dxa" w:w="9504"/>
            <w:shd w:fill="EDF3F8"/>
            <w:vAlign w:val="center"/>
          </w:tcPr>
          <w:p>
            <w:pPr>
              <w:spacing w:after="40"/>
            </w:pPr>
            <w:r>
              <w:rPr>
                <w:b/>
                <w:color w:val="234765"/>
              </w:rPr>
              <w:t>One-sentence definition</w:t>
            </w:r>
            <w:r>
              <w:br/>
              <w:t>A local-first, model-agnostic qualitative research environment that combines NVivo-style research workflows with evidence-grounded AI coding and a protected autoresearch loop that continuously improves implementation while keeping methodological authority with the researcher.</w:t>
            </w:r>
          </w:p>
        </w:tc>
      </w:tr>
    </w:tbl>
    <w:p>
      <w:pPr>
        <w:spacing w:after="0"/>
      </w:pPr>
    </w:p>
    <w:p>
      <w:pPr>
        <w:pStyle w:val="Heading1"/>
      </w:pPr>
      <w:r>
        <w:t>Appendix A. Example Configuration</w:t>
      </w:r>
    </w:p>
    <w:p>
      <w:pPr>
        <w:pStyle w:val="CodeBlock"/>
        <w:spacing w:before="80" w:after="160"/>
      </w:pPr>
      <w:r>
        <w:t>project:</w:t>
        <w:br/>
        <w:t xml:space="preserve">  name: Example Study</w:t>
        <w:br/>
        <w:t xml:space="preserve">  local_only: false</w:t>
        <w:br/>
        <w:br/>
        <w:t>coding:</w:t>
        <w:br/>
        <w:t xml:space="preserve">  backend: auto</w:t>
        <w:br/>
        <w:t xml:space="preserve">  codebook: cb_v14</w:t>
        <w:br/>
        <w:br/>
        <w:t>backends:</w:t>
        <w:br/>
        <w:t xml:space="preserve">  jev:</w:t>
        <w:br/>
        <w:t xml:space="preserve">    enabled: true</w:t>
        <w:br/>
        <w:t xml:space="preserve">  llm:</w:t>
        <w:br/>
        <w:t xml:space="preserve">    enabled: true</w:t>
        <w:br/>
        <w:t xml:space="preserve">    provider: configured-agent</w:t>
        <w:br/>
        <w:br/>
        <w:t>routing:</w:t>
        <w:br/>
        <w:t xml:space="preserve">  jev_for:</w:t>
        <w:br/>
        <w:t xml:space="preserve">    - binary_codes</w:t>
        <w:br/>
        <w:t xml:space="preserve">    - stable_categories</w:t>
        <w:br/>
        <w:t xml:space="preserve">  llm_for:</w:t>
        <w:br/>
        <w:t xml:space="preserve">    - open_coding</w:t>
        <w:br/>
        <w:t xml:space="preserve">    - ambiguous_passages</w:t>
        <w:br/>
        <w:t xml:space="preserve">    - memo_generation</w:t>
        <w:br/>
        <w:t xml:space="preserve">  human_review_below: 0.70</w:t>
        <w:br/>
        <w:br/>
        <w:t>improvement:</w:t>
        <w:br/>
        <w:t xml:space="preserve">  enabled: true</w:t>
        <w:br/>
        <w:t xml:space="preserve">  protected_paths:</w:t>
        <w:br/>
        <w:t xml:space="preserve">    - benchmarks/protected_test</w:t>
        <w:br/>
        <w:t xml:space="preserve">    - core/provenance</w:t>
        <w:br/>
        <w:t xml:space="preserve">    - evaluation/metrics.py</w:t>
        <w:br/>
        <w:t xml:space="preserve">  mutable_paths:</w:t>
        <w:br/>
        <w:t xml:space="preserve">    - ai/prompts</w:t>
        <w:br/>
        <w:t xml:space="preserve">    - research/routing.yaml</w:t>
        <w:br/>
        <w:t xml:space="preserve">    - research/segmentation.yaml</w:t>
        <w:br/>
        <w:t xml:space="preserve">  require_regression_pass: true</w:t>
      </w:r>
    </w:p>
    <w:p>
      <w:pPr>
        <w:pStyle w:val="Heading1"/>
      </w:pPr>
      <w:r>
        <w:t>Appendix B. Example Improvement Prompt Contract</w:t>
      </w:r>
    </w:p>
    <w:p>
      <w:pPr>
        <w:pStyle w:val="CodeBlock"/>
        <w:spacing w:before="80" w:after="160"/>
      </w:pPr>
      <w:r>
        <w:t>You are the experiment operator for Qualia.</w:t>
        <w:br/>
        <w:br/>
        <w:t>1. Read the current experiment state and latest evaluation report.</w:t>
        <w:br/>
        <w:t>2. Identify one specific, testable failure mode.</w:t>
        <w:br/>
        <w:t>3. Record a hypothesis before editing files.</w:t>
        <w:br/>
        <w:t>4. Modify only paths listed as mutable.</w:t>
        <w:br/>
        <w:t>5. Run the canonical evaluation command.</w:t>
        <w:br/>
        <w:t>6. Do not edit benchmark labels, metric definitions, provenance logic, or protected paths.</w:t>
        <w:br/>
        <w:t>7. Keep the change only if the configured acceptance policy passes.</w:t>
        <w:br/>
        <w:t>8. Otherwise revert all experimental modifications.</w:t>
        <w:br/>
        <w:t>9. Append the experiment result to the experiment log.</w:t>
        <w:br/>
        <w:t>10. Continue until the configured experiment budget is exhausted or no justified hypothesis remains.</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882"/>
        <w:sz w:val="16"/>
      </w:rPr>
      <w:t>QUALIA  |  PROJECT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B5876"/>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365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Qualia - AI-Native Qualitative Research Environment</dc:title>
  <dc:subject>Detailed project specification for a model-agnostic qualitative research system with Claude Code/Codex compatibility, optional Jev classification, and autonomous self-improvement.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