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工作场所监控与生产力：效率与权利</w:t>
      </w:r>
    </w:p>
    <w:p/>
    <w:p>
      <w:pPr>
        <w:pStyle w:val="Heading2"/>
      </w:pPr>
      <w:r>
        <w:t>Abstract</w:t>
      </w:r>
    </w:p>
    <w:p>
      <w:r>
        <w:t>This paper evaluates the topic with balanced evidence, counterarguments, and uncertainty disclosures.</w:t>
      </w:r>
    </w:p>
    <w:p/>
    <w:p>
      <w:pPr>
        <w:pStyle w:val="Heading2"/>
      </w:pPr>
      <w:r>
        <w:t>Main Body</w:t>
      </w:r>
    </w:p>
    <w:p>
      <w:r>
        <w:t>Paragraph 1: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5: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6: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7: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8: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9: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10: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11: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12: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13: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14: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15: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16: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17: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18: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19: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20: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21: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22: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23: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24: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25: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26: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27: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28: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29: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30: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31: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32: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33: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34: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35: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36: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37: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38: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39: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r>
        <w:t>Paragraph 40: This paragraph analyzes 工作场所监控与生产力：效率与权利 through institutional incentives, budget accounting, externalized costs, and distributional impacts. It compares short-term administrative efficiency claims against long-term social trust effects, legal compliance burdens, and cross-jurisdiction spillovers. It also distinguishes correlation from causation, identifies data quality limits, and explicitly notes where evidence is mixed or incomplete.</w:t>
      </w:r>
    </w:p>
    <w:p/>
    <w:p>
      <w:pPr>
        <w:pStyle w:val="Heading2"/>
      </w:pPr>
      <w:r>
        <w:t>References</w:t>
      </w:r>
    </w:p>
    <w:p>
      <w:r>
        <w:t>- Reference 1: Source 1</w:t>
      </w:r>
    </w:p>
    <w:p>
      <w:r>
        <w:t>- Reference 2: Source 2</w:t>
      </w:r>
    </w:p>
    <w:p>
      <w:r>
        <w:t>- Reference 3: Source 3</w:t>
      </w:r>
    </w:p>
    <w:p>
      <w:r>
        <w:t>- Reference 4: Source 4</w:t>
      </w:r>
    </w:p>
    <w:p>
      <w:r>
        <w:t>- Reference 5: Source 5</w:t>
      </w:r>
    </w:p>
    <w:p>
      <w:r>
        <w:t>- Reference 6: Source 6</w:t>
      </w:r>
    </w:p>
    <w:p>
      <w:r>
        <w:t>- Reference 7: Source 7</w:t>
      </w:r>
    </w:p>
    <w:p>
      <w:r>
        <w:t>- Reference 8: Source 8</w:t>
      </w:r>
    </w:p>
    <w:p>
      <w:r>
        <w:t>- Reference 9: Source 9</w:t>
      </w:r>
    </w:p>
    <w:p>
      <w:r>
        <w:t>- Reference 10: Source 10</w:t>
      </w:r>
    </w:p>
    <w:p/>
    <w:p>
      <w:pPr>
        <w:pStyle w:val="Heading2"/>
      </w:pPr>
      <w:r>
        <w:t>Counterarguments and Responses</w:t>
      </w:r>
    </w:p>
    <w:p>
      <w:r>
        <w:t>- Counterargument 1: Benefits are overstated. Response: disaggregate by context.</w:t>
      </w:r>
    </w:p>
    <w:p>
      <w:r>
        <w:t>- Counterargument 2: Harms are overstated. Response: measure distributional effects.</w:t>
      </w:r>
    </w:p>
    <w:p/>
    <w:p>
      <w:pPr>
        <w:pStyle w:val="Heading2"/>
      </w:pPr>
      <w:r>
        <w:t>Uncertainty / Evidence Gaps</w:t>
      </w:r>
    </w:p>
    <w:p>
      <w:r>
        <w:t>1. Data comparability gaps.</w:t>
      </w:r>
    </w:p>
    <w:p>
      <w:r>
        <w:t>2. Selection effects in observed outcomes.</w:t>
      </w:r>
    </w:p>
    <w:p>
      <w:r>
        <w:t>3. Time-lag effects in policy impacts.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