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he-future-of-ai"/>
    <w:p>
      <w:pPr>
        <w:pStyle w:val="Heading1"/>
      </w:pPr>
      <w:r>
        <w:t xml:space="preserve">The Future of AI</w:t>
      </w:r>
    </w:p>
    <w:p>
      <w:pPr>
        <w:pStyle w:val="FirstParagraph"/>
      </w:pPr>
      <w:r>
        <w:t xml:space="preserve">Artificial intelligence is exiting the novelty phase and settling into the infrastructure of modern life. Over the next decade, AI will resemble electricity more than a gadget: mostly invisible, deeply embedded, and indispensable to economic growth. The future of AI will be shaped by the friction between ambitious engineering, democratic oversight, and the planet’s tolerance for disruption.</w:t>
      </w:r>
    </w:p>
    <w:p>
      <w:pPr>
        <w:pStyle w:val="BodyText"/>
      </w:pPr>
      <w:r>
        <w:t xml:space="preserve">The first pillar of that future is scientific acceleration. Foundation models make it possible to discover drugs, optimize energy grids, and simulate supply chains faster than human teams working alone. Their predictive power shortens feedback loops in laboratories and factories, turning long shots into prototypes far more quickly. Researchers who once spent months cleaning data now spend hours drafting hypotheses with AI copilots, raising the ceiling on what a small group of experts can accomplish.</w:t>
      </w:r>
    </w:p>
    <w:p>
      <w:pPr>
        <w:pStyle w:val="BodyText"/>
      </w:pPr>
      <w:r>
        <w:t xml:space="preserve">A second pillar is collaboration between humans and machines. The most transformative solutions will pair AI systems with professionals who understand context, ethics, and lived experience. Clinicians may lean on AI to summarize charts, but empathetic bedside conversations will remain firmly human. Teachers will use adaptive tutors to personalize assignments, yet they will still cultivate curiosity and resilience face to face. The future workforce therefore prioritizes judgment, communication, and interdisciplinary fluency, not rote pattern matching.</w:t>
      </w:r>
    </w:p>
    <w:p>
      <w:pPr>
        <w:pStyle w:val="BodyText"/>
      </w:pPr>
      <w:r>
        <w:t xml:space="preserve">Third, the future of AI hinges on governance. Nations are experimenting with algorithmic audits, licensing regimes, and safety thresholds inspired by aviation and biotech. Forward-leaning companies now run “red-team” exercises that stress-test models for deception or misuse prior to release. These controls will not eliminate risk, but they build muscle memory for responding to incidents quickly, and they create paper trails that regulators and citizens can interrogate.</w:t>
      </w:r>
    </w:p>
    <w:p>
      <w:pPr>
        <w:pStyle w:val="BodyText"/>
      </w:pPr>
      <w:r>
        <w:t xml:space="preserve">Energy and compute planning represent a fourth pillar. Training state-of-the-art systems demands massive clusters of specialized chips and reliable low-carbon electricity. Cities that cultivate modular data centers, invest in power-grid resilience, and recycle heat waste will become preferred homes for AI research. Conversely, regions that ignore the physical footprint of AI may find themselves excluded from the innovation map.</w:t>
      </w:r>
    </w:p>
    <w:p>
      <w:pPr>
        <w:pStyle w:val="BodyText"/>
      </w:pPr>
      <w:r>
        <w:t xml:space="preserve">Finally, broad public trust will determine AI’s trajectory. Communities must see tangible benefits—safer streets, cleaner logistics, more responsive public services—before they will tolerate the risks. That requires participatory design processes, accessible appeals mechanisms, and cultural competence from product teams. An AI future that listens to local voices will be far more durable than one imposed from faraway corporate headquarters.</w:t>
      </w:r>
    </w:p>
    <w:p>
      <w:pPr>
        <w:pStyle w:val="BodyText"/>
      </w:pPr>
      <w:r>
        <w:t xml:space="preserve">In sum, the future of AI is neither utopian nor catastrophic by default. It is a negotiation among scientific ambition, civic safeguards, environmental constraints, and everyday human needs. If those negotiations remain transparent and inclusive, AI can help societies solve entrenched problems while avoiding the worst-case scenarios that dominate headlines. The next chapter depends less on the brilliance of algorithms and more on our collective willingness to steer them responsibly. That stewardship will demand continuous education, cross-border cooperation, and investment in resilient social safety nets so workers can pivot into newly invented roles without fear. It also means measuring success by human flourishing, not throughput alone, and prosperity.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2026-03-08T00:42:17Z</dcterms:created>
  <dcterms:modified xsi:type="dcterms:W3CDTF">2026-03-08T00:42:17Z</dcterms:modified>
</cp:coreProperties>
</file>

<file path=docProps/custom.xml><?xml version="1.0" encoding="utf-8"?>
<Properties xmlns="http://schemas.openxmlformats.org/officeDocument/2006/custom-properties" xmlns:vt="http://schemas.openxmlformats.org/officeDocument/2006/docPropsVTypes"/>
</file>