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Data Structures &amp; Algorithms, Statistical Modeling, Linear Algebra, Computer Engineering, Data Science Programming, Discrete Mathematics.</w:t>
      </w:r>
    </w:p>
    <w:p>
      <w:pPr>
        <w:keepNext/>
        <w:tabs>
          <w:tab w:pos="10656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ACADEMIC PROFILE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Interests: </w:t>
      </w:r>
      <w:r>
        <w:rPr>
          <w:rFonts w:ascii="Arial" w:hAnsi="Arial"/>
          <w:color w:val="000000"/>
          <w:sz w:val="18"/>
        </w:rPr>
        <w:t>Applied AI, multi-agent systems, trustworthy data workflows, computer vision, reinforcement learning, and production software systems.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Technical foundation: </w:t>
      </w:r>
      <w:r>
        <w:rPr>
          <w:rFonts w:ascii="Arial" w:hAnsi="Arial"/>
          <w:color w:val="000000"/>
          <w:sz w:val="18"/>
        </w:rPr>
        <w:t>Python, TypeScript, Java, SQL, Go, C++, R; PyTorch, FastAPI, React/Next.js, Node.js, PostgreSQL, Redis, Docker, AWS, REST APIs, CI/CD.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RESEARCH AND PROFESSIONAL EXPERIENCE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for an AI video generation platform, integrating Gemini inference with FastAPI, PostgreSQL, and Redis across multistage media workflows.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Implemented parallel execution, caching, RBAC, observability, CI/CD, and SSE streaming</w:t>
      </w:r>
      <w:r>
        <w:rPr>
          <w:rFonts w:ascii="Arial" w:hAnsi="Arial"/>
          <w:color w:val="000000"/>
          <w:sz w:val="18"/>
        </w:rPr>
        <w:t>; partnered with the CEO and four departments to translate product needs into reliable production features.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multi-agent pharmaceutical research workflows</w:t>
      </w:r>
      <w:r>
        <w:rPr>
          <w:rFonts w:ascii="Arial" w:hAnsi="Arial"/>
          <w:color w:val="000000"/>
          <w:sz w:val="18"/>
        </w:rPr>
        <w:t xml:space="preserve"> with evidence grading, human review checkpoints, automated validation, and auditable source provenance.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searchable interfaces and structured JSON/SQLite exports</w:t>
      </w:r>
      <w:r>
        <w:rPr>
          <w:rFonts w:ascii="Arial" w:hAnsi="Arial"/>
          <w:color w:val="000000"/>
          <w:sz w:val="18"/>
        </w:rPr>
        <w:t xml:space="preserve"> for reports, legal evidence, company data, and partner verification across international healthcare markets.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AI policy and talent-allocation trends</w:t>
      </w:r>
      <w:r>
        <w:rPr>
          <w:rFonts w:ascii="Arial" w:hAnsi="Arial"/>
          <w:color w:val="000000"/>
          <w:sz w:val="18"/>
        </w:rPr>
        <w:t>, reconciled multi-source institutional evidence, and built a Python linear model for quantitative forecasting and stakeholder analysis.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a Python ingestion pipeline</w:t>
      </w:r>
      <w:r>
        <w:rPr>
          <w:rFonts w:ascii="Arial" w:hAnsi="Arial"/>
          <w:color w:val="000000"/>
          <w:sz w:val="18"/>
        </w:rPr>
        <w:t xml:space="preserve"> using BeautifulSoup, Requests, and Pandas; parsed and loaded 50,000+ nonprofit tax records into PostgreSQL with 98% accuracy.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operational data</w:t>
      </w:r>
      <w:r>
        <w:rPr>
          <w:rFonts w:ascii="Arial" w:hAnsi="Arial"/>
          <w:color w:val="000000"/>
          <w:sz w:val="18"/>
        </w:rPr>
        <w:t xml:space="preserve"> with Python, SQL, Excel, and Power BI, then connected Power Platform and CRM workflows to improve management reporting and process visibility.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demographic, behavioral, and preference data</w:t>
      </w:r>
      <w:r>
        <w:rPr>
          <w:rFonts w:ascii="Arial" w:hAnsi="Arial"/>
          <w:color w:val="000000"/>
          <w:sz w:val="18"/>
        </w:rPr>
        <w:t xml:space="preserve"> with Python and Excel, contributing visualizations and findings to a 200+ page North American Asian food market white paper and stakeholder-ready market recommendations.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TECHNICAL AND RESEARCH PROJECTS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memory, automated QA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multi-agent orchestration system</w:t>
      </w:r>
      <w:r>
        <w:rPr>
          <w:rFonts w:ascii="Arial" w:hAnsi="Arial"/>
          <w:color w:val="000000"/>
          <w:sz w:val="18"/>
        </w:rPr>
        <w:t xml:space="preserve"> that routes work by task type and complexity, persists run memory, and exports QA-gated Markdown/DOCX artifacts across seven validated tests.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computation, experiment diagnostics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 halting and reinforcement-learning workflows</w:t>
      </w:r>
      <w:r>
        <w:rPr>
          <w:rFonts w:ascii="Arial" w:hAnsi="Arial"/>
          <w:color w:val="000000"/>
          <w:sz w:val="18"/>
        </w:rPr>
        <w:t>, documenting sparse-retrieval failure modes, training tradeoffs, and reproducible evaluation results.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match-analysis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visualization.</w:t>
      </w:r>
    </w:p>
    <w:p>
      <w:pPr>
        <w:keepNext/>
        <w:pageBreakBefore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AI-Powered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Gemini API, pdf-lib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50+ stakeholder interviews</w:t>
      </w:r>
      <w:r>
        <w:rPr>
          <w:rFonts w:ascii="Arial" w:hAnsi="Arial"/>
          <w:color w:val="000000"/>
          <w:sz w:val="18"/>
        </w:rPr>
        <w:t xml:space="preserve"> and shipped a deployed evidence workflow across 21 API routes and 10 PostgreSQL tables, transforming lease and inspection inputs into auditable, timestamped PDFs.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AI-Assisted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explainable group recommendation workflow</w:t>
      </w:r>
      <w:r>
        <w:rPr>
          <w:rFonts w:ascii="Arial" w:hAnsi="Arial"/>
          <w:color w:val="000000"/>
          <w:sz w:val="18"/>
        </w:rPr>
        <w:t xml:space="preserve"> combining user preferences, location, and natural-language input; earned Second Place at the 2026 Cursor Hackathon through an explainable, location-aware group decision flow.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Brain-Computer Interface MVP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Streamlit, real-time signal pipelines, interactive visualization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end-to-end neural-signal prototype</w:t>
      </w:r>
      <w:r>
        <w:rPr>
          <w:rFonts w:ascii="Arial" w:hAnsi="Arial"/>
          <w:color w:val="000000"/>
          <w:sz w:val="18"/>
        </w:rPr>
        <w:t xml:space="preserve"> to process, inspect, and visualize streaming data for applied BCI experimentation.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 CONTRIBUTIONS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Recorded 213 merged pull requests</w:t>
      </w:r>
      <w:r>
        <w:rPr>
          <w:rFonts w:ascii="Arial" w:hAnsi="Arial"/>
          <w:color w:val="000000"/>
          <w:sz w:val="18"/>
        </w:rPr>
        <w:t>, including 201 merged contributions to external repositories, as verified through the GitHub API on September 22, 2026.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through maintainer review and CI workflows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other developer tools.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LEADERSHIP AND ACTIVITIES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Badger Blockchain E-Board, Social Media and Communications</w:t>
      </w:r>
      <w:r>
        <w:rPr>
          <w:rFonts w:ascii="Arial" w:hAnsi="Arial"/>
          <w:color w:val="000000"/>
          <w:sz w:val="18"/>
        </w:rPr>
        <w:t xml:space="preserve"> | Summer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Badminton E-Board</w:t>
      </w:r>
      <w:r>
        <w:rPr>
          <w:rFonts w:ascii="Arial" w:hAnsi="Arial"/>
          <w:color w:val="000000"/>
          <w:sz w:val="18"/>
        </w:rPr>
        <w:t xml:space="preserve"> | Spring 2025 -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UW-Madison Data Science Club</w:t>
      </w:r>
      <w:r>
        <w:rPr>
          <w:rFonts w:ascii="Arial" w:hAnsi="Arial"/>
          <w:color w:val="000000"/>
          <w:sz w:val="18"/>
        </w:rPr>
        <w:t xml:space="preserve"> - promoted technical events and organized weekly Python, R, and Excel workshops.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VEX Robotics Club</w:t>
      </w:r>
      <w:r>
        <w:rPr>
          <w:rFonts w:ascii="Arial" w:hAnsi="Arial"/>
          <w:color w:val="000000"/>
          <w:sz w:val="18"/>
        </w:rPr>
        <w:t xml:space="preserve"> - built and maintained a C++ robot and evaluated routing strategies for competitive matches.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 (C++)</w:t>
      </w:r>
    </w:p>
    <w:sectPr w:rsidR="00FC693F" w:rsidRPr="0006063C" w:rsidSect="00034616">
      <w:pgSz w:w="12240" w:h="15840"/>
      <w:pgMar w:top="662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