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integrating Gemini inference with FastAPI, PostgreSQL, and Redis for validated multistage workflows with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model calls and improved inference visibility</w:t>
      </w:r>
      <w:r>
        <w:rPr>
          <w:rFonts w:ascii="Arial" w:hAnsi="Arial"/>
          <w:color w:val="000000"/>
          <w:sz w:val="18"/>
        </w:rPr>
        <w:t xml:space="preserve"> by orchestrating parallel keyframe and video tasks with cached intermediates, SSE progress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AI delivery</w:t>
      </w:r>
      <w:r>
        <w:rPr>
          <w:rFonts w:ascii="Arial" w:hAnsi="Arial"/>
          <w:color w:val="000000"/>
          <w:sz w:val="18"/>
        </w:rPr>
        <w:t xml:space="preserve"> with product and operational needs by partnering with the CEO and four departments, then implementing RBAC, validation, observability, and CI/CD controls for repeatable releases and stakeholder review.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market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source provenance, citation checks, and automated validation, enabling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AI-assisted findings</w:t>
      </w:r>
      <w:r>
        <w:rPr>
          <w:rFonts w:ascii="Arial" w:hAnsi="Arial"/>
          <w:color w:val="000000"/>
          <w:sz w:val="18"/>
        </w:rPr>
        <w:t xml:space="preserve"> by developing searchable interfaces and structured exports with source IDs, retrieval dates, and citation checks across legal, company, and partner-verification evidence.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institutional evidence in Python, documenting model assumptions, and delivering a reproducible forecasting workflow to project stakeholders.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 Group Recommendation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recommendations; earned Second Place at the 2026 Cursor Hackathon.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