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using FastAPI, Gemini, PostgreSQL, and Redis to orchestrate validated multistage jobs with asynchronous execution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redundant model work and release risk</w:t>
      </w:r>
      <w:r>
        <w:rPr>
          <w:rFonts w:ascii="Arial" w:hAnsi="Arial"/>
          <w:color w:val="000000"/>
          <w:sz w:val="18"/>
        </w:rPr>
        <w:t xml:space="preserve"> by implementing parallel execution, cache-backed processing, RBAC, observability, and CI/CD, improving reliability across long-running generation workflows and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engineering delivery</w:t>
      </w:r>
      <w:r>
        <w:rPr>
          <w:rFonts w:ascii="Arial" w:hAnsi="Arial"/>
          <w:color w:val="000000"/>
          <w:sz w:val="18"/>
        </w:rPr>
        <w:t xml:space="preserve"> with company priorities by partnering with the CEO and four departments, translating product requirements into an SSE-streamed dashboard that improved real-time review, debugging, and release visibility.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pharmaceutical evidence searchable and reusable</w:t>
      </w:r>
      <w:r>
        <w:rPr>
          <w:rFonts w:ascii="Arial" w:hAnsi="Arial"/>
          <w:color w:val="000000"/>
          <w:sz w:val="18"/>
        </w:rPr>
        <w:t xml:space="preserve"> by building interfaces and JSON/SQLite pipelines that normalized reports, legal evidence, company, and partner records with provenance, validation metadata,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trust in AI-assisted research</w:t>
      </w:r>
      <w:r>
        <w:rPr>
          <w:rFonts w:ascii="Arial" w:hAnsi="Arial"/>
          <w:color w:val="000000"/>
          <w:sz w:val="18"/>
        </w:rPr>
        <w:t xml:space="preserve"> by combining automated completeness, citation, and source-coverage checks with human review checkpoints, producing auditable evidence for downstream pharmaceutical decisions.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policy and institutional sources in Python, building a documented linear forecasting model, and delivering reproducible evidence to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nonprofit registry data usable for reporting</w:t>
      </w:r>
      <w:r>
        <w:rPr>
          <w:rFonts w:ascii="Arial" w:hAnsi="Arial"/>
          <w:color w:val="000000"/>
          <w:sz w:val="18"/>
        </w:rPr>
        <w:t xml:space="preserve"> by building a Python ingestion service with BeautifulSoup, Requests, and Pandas, adding reusable parsers, schema checks,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downstream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validation and filters across EIN, filing year, tax category, and geography.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outputs for repeatable match review and model debugging.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repositories, working through maintainer review, automated tests, and CI workflows across production developer tools.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reviewed contributions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additional open-source projects.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