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Statistical Modeling, Linear Algebra, Data Structures &amp; Algorithms, Data Science Programming,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AI AND ENGINEERING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SQL, Java,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AI systems: </w:t>
      </w:r>
      <w:r>
        <w:rPr>
          <w:rFonts w:ascii="Arial" w:hAnsi="Arial"/>
          <w:color w:val="000000"/>
          <w:sz w:val="18"/>
        </w:rPr>
        <w:t>Gemini API, multi-agent orchestration, computer vision, reinforcement learning, JSON Schema, evaluation, human review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Engineering: </w:t>
      </w:r>
      <w:r>
        <w:rPr>
          <w:rFonts w:ascii="Arial" w:hAnsi="Arial"/>
          <w:color w:val="000000"/>
          <w:sz w:val="18"/>
        </w:rPr>
        <w:t>FastAPI, React, Next.js, Node.js, PostgreSQL, Redis, REST APIs, SSE, Docker,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RELEVANT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integrating Gemini inference with FastAPI, PostgreSQL, and Redis for validated multistage workflows with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model calls and improved inference visibility</w:t>
      </w:r>
      <w:r>
        <w:rPr>
          <w:rFonts w:ascii="Arial" w:hAnsi="Arial"/>
          <w:color w:val="000000"/>
          <w:sz w:val="18"/>
        </w:rPr>
        <w:t xml:space="preserve"> by orchestrating parallel keyframe and video tasks with cached intermediates, SSE progress streaming, cache observability, and production debugging controls.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AI delivery</w:t>
      </w:r>
      <w:r>
        <w:rPr>
          <w:rFonts w:ascii="Arial" w:hAnsi="Arial"/>
          <w:color w:val="000000"/>
          <w:sz w:val="18"/>
        </w:rPr>
        <w:t xml:space="preserve"> with product and operational needs by partnering with the CEO and four departments, then implementing RBAC, validation, observability, and CI/CD controls for repeatable releases and stakeholder review.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market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source provenance, citation checks, and automated validation, enabling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AI-assisted findings</w:t>
      </w:r>
      <w:r>
        <w:rPr>
          <w:rFonts w:ascii="Arial" w:hAnsi="Arial"/>
          <w:color w:val="000000"/>
          <w:sz w:val="18"/>
        </w:rPr>
        <w:t xml:space="preserve"> by developing searchable interfaces and structured exports with source IDs, retrieval dates, and citation checks across legal, company, and partner-verification evidence.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institutional evidence in Python, documenting model assumptions, and delivering a reproducible forecasting workflow to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public nonprofit records analysis-ready</w:t>
      </w:r>
      <w:r>
        <w:rPr>
          <w:rFonts w:ascii="Arial" w:hAnsi="Arial"/>
          <w:color w:val="000000"/>
          <w:sz w:val="18"/>
        </w:rPr>
        <w:t xml:space="preserve"> by building a Python ingestion pipeline with reusable parsers, schema validation, and auditable source fields, then loading 50,000+ PostgreSQL records with 98% accuracy.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AI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task-routing agent system</w:t>
      </w:r>
      <w:r>
        <w:rPr>
          <w:rFonts w:ascii="Arial" w:hAnsi="Arial"/>
          <w:color w:val="000000"/>
          <w:sz w:val="18"/>
        </w:rPr>
        <w:t xml:space="preserve"> that selects workflows by complexity, persists run memory, and gates Markdown/DOCX outputs with automated QA across seven validated tests, persistent execution state, and regression-safe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computer-vision pipeline</w:t>
      </w:r>
      <w:r>
        <w:rPr>
          <w:rFonts w:ascii="Arial" w:hAnsi="Arial"/>
          <w:color w:val="000000"/>
          <w:sz w:val="18"/>
        </w:rPr>
        <w:t xml:space="preserve"> that tracks two players, overlays pose estimates, recovers shuttle motion, and renders annotated video for repeatable match analysis, diagnostic review, structured performance comparison, and model debugging.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halting, experiment diagnostics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adaptive-computation and reinforcement-learning workflows</w:t>
      </w:r>
      <w:r>
        <w:rPr>
          <w:rFonts w:ascii="Arial" w:hAnsi="Arial"/>
          <w:color w:val="000000"/>
          <w:sz w:val="18"/>
        </w:rPr>
        <w:t>, documenting sparse-retrieval failures, training behavior, reproducible evaluation results, and failure-mode analysis across adaptive computation experiments.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API, Next.js, TypeScript, PostgreSQL, Drizzle ORM,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Integrated Gemini into a deployed evidence workflow</w:t>
      </w:r>
      <w:r>
        <w:rPr>
          <w:rFonts w:ascii="Arial" w:hAnsi="Arial"/>
          <w:color w:val="000000"/>
          <w:sz w:val="18"/>
        </w:rPr>
        <w:t xml:space="preserve"> that converts lease and inspection inputs into auditable PDFs, informed by 50+ stakeholder interviews, traceable data sources, production-ready evidence exports, and downstream review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 Group Recommendation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recommendations; earned Second Place at the 2026 Cursor Hackathon.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 and CI workflows, including GitHub Docs, Docker CLI, Microsoft APM, NVIDIA NemoClaw, Meta DotSlash, and Repomix.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