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Statistical Modeling, Linear Algebra, Data Science Programming, Artificial Intelligence, Data Structures &amp; Algorithms,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SQL, R, Java, TypeScript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Analytics: </w:t>
      </w:r>
      <w:r>
        <w:rPr>
          <w:rFonts w:ascii="Arial" w:hAnsi="Arial"/>
          <w:color w:val="000000"/>
          <w:sz w:val="18"/>
        </w:rPr>
        <w:t>Pandas, Excel, Power BI, Plotly, Matplotlib, statistical modeling, data visualization, forecasting, data quality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Data systems: </w:t>
      </w:r>
      <w:r>
        <w:rPr>
          <w:rFonts w:ascii="Arial" w:hAnsi="Arial"/>
          <w:color w:val="000000"/>
          <w:sz w:val="18"/>
        </w:rPr>
        <w:t>PostgreSQL, SQLite, REST APIs, BeautifulSoup, Requests, Power Automate, Power Apps, Microsoft Lists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AND RESEARCH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long-running AI generation jobs reliable and measurable</w:t>
      </w:r>
      <w:r>
        <w:rPr>
          <w:rFonts w:ascii="Arial" w:hAnsi="Arial"/>
          <w:color w:val="000000"/>
          <w:sz w:val="18"/>
        </w:rPr>
        <w:t xml:space="preserve"> by building FastAPI workflows backed by PostgreSQL and Redis, with validation, cache-backed processing, failure recovery, and operational observability.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cross-functional visibility</w:t>
      </w:r>
      <w:r>
        <w:rPr>
          <w:rFonts w:ascii="Arial" w:hAnsi="Arial"/>
          <w:color w:val="000000"/>
          <w:sz w:val="18"/>
        </w:rPr>
        <w:t xml:space="preserve"> by partnering with the CEO and four departments to translate reporting needs into an SSE-streamed dashboard for real-time progress, debugging, and release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multi-source policy evidence and building a documented Python linear model, delivering reproducible forecasts for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public nonprofit tax records analysis-ready</w:t>
      </w:r>
      <w:r>
        <w:rPr>
          <w:rFonts w:ascii="Arial" w:hAnsi="Arial"/>
          <w:color w:val="000000"/>
          <w:sz w:val="18"/>
        </w:rPr>
        <w:t xml:space="preserve"> by building a Python pipeline with BeautifulSoup, Requests, and Pandas, using reusable parsers, schema validation,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reporting quality</w:t>
      </w:r>
      <w:r>
        <w:rPr>
          <w:rFonts w:ascii="Arial" w:hAnsi="Arial"/>
          <w:color w:val="000000"/>
          <w:sz w:val="18"/>
        </w:rPr>
        <w:t xml:space="preserve"> by loading 50,000+ records into PostgreSQL with 98% accuracy and applying filters across EIN, filing year, tax category, and geography for reproducible management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recurring management decisions</w:t>
      </w:r>
      <w:r>
        <w:rPr>
          <w:rFonts w:ascii="Arial" w:hAnsi="Arial"/>
          <w:color w:val="000000"/>
          <w:sz w:val="18"/>
        </w:rPr>
        <w:t xml:space="preserve"> by consolidating operational data from databases, APIs, spreadsheets, and web sources with Python, SQL, Excel, and Power BI into KPI and reporting workflows.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fragmented reporting handoffs</w:t>
      </w:r>
      <w:r>
        <w:rPr>
          <w:rFonts w:ascii="Arial" w:hAnsi="Arial"/>
          <w:color w:val="000000"/>
          <w:sz w:val="18"/>
        </w:rPr>
        <w:t xml:space="preserve"> by connecting Power Automate, Power Apps, Microsoft Lists, and Scoro CRM, improving data consistency and operational visibility across recurring processes.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multi-source pharmaceutical research auditable</w:t>
      </w:r>
      <w:r>
        <w:rPr>
          <w:rFonts w:ascii="Arial" w:hAnsi="Arial"/>
          <w:color w:val="000000"/>
          <w:sz w:val="18"/>
        </w:rPr>
        <w:t xml:space="preserve"> by normalizing records into JSON and SQLite datasets with source IDs, retrieval dates, validation metadata, citation checks, and reproducible exports.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DATA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Data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PostgreSQL, SQL, Drizzle ORM, TypeScript, Gemini API,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data flows across 10 PostgreSQL tables and 21 API routes</w:t>
      </w:r>
      <w:r>
        <w:rPr>
          <w:rFonts w:ascii="Arial" w:hAnsi="Arial"/>
          <w:color w:val="000000"/>
          <w:sz w:val="18"/>
        </w:rPr>
        <w:t>, converting lease and inspection inputs into traceable evidence records and timestamped PDF exports with traceable inputs, validation metadata, and reproducible transformations.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Recommendation System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restaurant recommendations;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Match Analytics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tracking, pose estimation, video visualization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Produced structured two-player tracking</w:t>
      </w:r>
      <w:r>
        <w:rPr>
          <w:rFonts w:ascii="Arial" w:hAnsi="Arial"/>
          <w:color w:val="000000"/>
          <w:sz w:val="18"/>
        </w:rPr>
        <w:t>, pose overlays, shuttle recovery, and annotated video outputs for repeatable performance analysis, structured comparison, and repeatable review of player movement and rally-level outputs.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 and CI workflows, including GitHub Docs, Docker CLI, Microsoft APM, and NVIDIA NemoClaw.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Leadership: </w:t>
      </w:r>
      <w:r>
        <w:rPr>
          <w:rFonts w:ascii="Arial" w:hAnsi="Arial"/>
          <w:color w:val="000000"/>
          <w:sz w:val="18"/>
        </w:rPr>
        <w:t>Badger Blockchain E-Board, Social Media and Communications (Summer 2026 - Present); Badminton E-Board (Spring 2025 - Present).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Place: 2024 GWU Data Science Association Datathon (Python) and 2026 Cursor Hackathon (TableUs)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