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Data Structures &amp; Algorithms, Artificial Intelligence, Computer Engineering, Discrete Math, Statistical Modeling, Linear Algebra.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Java, SQL,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Node.js, FastAPI, Express, PostgreSQL, Redis, SQLite, Docker, AWS, REST APIs, RBAC, SSE,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PROFESSIONAL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to make an AI video generation platform production-ready, using FastAPI, Gemini, PostgreSQL, and Redis to orchestrate validated multistage jobs with asynchronous execution and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redundant model work and release risk</w:t>
      </w:r>
      <w:r>
        <w:rPr>
          <w:rFonts w:ascii="Arial" w:hAnsi="Arial"/>
          <w:color w:val="000000"/>
          <w:sz w:val="18"/>
        </w:rPr>
        <w:t xml:space="preserve"> by implementing parallel execution, cache-backed processing, RBAC, observability, and CI/CD, improving reliability across long-running generation workflows and repeatable production releases.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Aligned engineering delivery</w:t>
      </w:r>
      <w:r>
        <w:rPr>
          <w:rFonts w:ascii="Arial" w:hAnsi="Arial"/>
          <w:color w:val="000000"/>
          <w:sz w:val="18"/>
        </w:rPr>
        <w:t xml:space="preserve"> with company priorities by partnering with the CEO and four departments, translating product requirements into an SSE-streamed dashboard that improved real-time review, debugging, and release visibility.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fragmented pharmaceutical evidence searchable and reusable</w:t>
      </w:r>
      <w:r>
        <w:rPr>
          <w:rFonts w:ascii="Arial" w:hAnsi="Arial"/>
          <w:color w:val="000000"/>
          <w:sz w:val="18"/>
        </w:rPr>
        <w:t xml:space="preserve"> by building interfaces and JSON/SQLite pipelines that normalized reports, legal evidence, company, and partner records with provenance, validation metadata, and reproducible exports.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trust in AI-assisted research</w:t>
      </w:r>
      <w:r>
        <w:rPr>
          <w:rFonts w:ascii="Arial" w:hAnsi="Arial"/>
          <w:color w:val="000000"/>
          <w:sz w:val="18"/>
        </w:rPr>
        <w:t xml:space="preserve"> by combining automated completeness, citation, and source-coverage checks with human review checkpoints, producing auditable evidence for downstream pharmaceutical decisions.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research decisions on AI talent allocation</w:t>
      </w:r>
      <w:r>
        <w:rPr>
          <w:rFonts w:ascii="Arial" w:hAnsi="Arial"/>
          <w:color w:val="000000"/>
          <w:sz w:val="18"/>
        </w:rPr>
        <w:t xml:space="preserve"> by reconciling policy and institutional sources in Python, building a documented linear forecasting model, and delivering reproducible evidence to project stakeholders.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fragmented nonprofit registry data usable for reporting</w:t>
      </w:r>
      <w:r>
        <w:rPr>
          <w:rFonts w:ascii="Arial" w:hAnsi="Arial"/>
          <w:color w:val="000000"/>
          <w:sz w:val="18"/>
        </w:rPr>
        <w:t xml:space="preserve"> by building a Python ingestion service with BeautifulSoup, Requests, and Pandas, adding reusable parsers, schema checks,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downstream reporting quality</w:t>
      </w:r>
      <w:r>
        <w:rPr>
          <w:rFonts w:ascii="Arial" w:hAnsi="Arial"/>
          <w:color w:val="000000"/>
          <w:sz w:val="18"/>
        </w:rPr>
        <w:t xml:space="preserve"> by loading 50,000+ records into PostgreSQL with 98% accuracy and applying validation and filters across EIN, filing year, tax category, and geography.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Automated recurring management workflows</w:t>
      </w:r>
      <w:r>
        <w:rPr>
          <w:rFonts w:ascii="Arial" w:hAnsi="Arial"/>
          <w:color w:val="000000"/>
          <w:sz w:val="18"/>
        </w:rPr>
        <w:t xml:space="preserve"> by integrating Power Automate, Power Apps, Microsoft Lists, and Scoro CRM, reducing fragmented handoffs and improving operational visibility.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REST APIs,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a deployed full-stack platform</w:t>
      </w:r>
      <w:r>
        <w:rPr>
          <w:rFonts w:ascii="Arial" w:hAnsi="Arial"/>
          <w:color w:val="000000"/>
          <w:sz w:val="18"/>
        </w:rPr>
        <w:t xml:space="preserve"> that converts lease and inspection inputs into auditable, timestamped PDFs across 21 API routes and 10 PostgreSQL tables, informed by 50+ stakeholder interviews and production-ready data exports.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REST APIs, persistent run state, automated tests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orchestration API</w:t>
      </w:r>
      <w:r>
        <w:rPr>
          <w:rFonts w:ascii="Arial" w:hAnsi="Arial"/>
          <w:color w:val="000000"/>
          <w:sz w:val="18"/>
        </w:rPr>
        <w:t xml:space="preserve"> with schema validation, persistent run memory, task routing, and QA-gated document exports; covered core workflows with seven automated tests and repeatable QA regression checks across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full-stack recommendation workflow</w:t>
      </w:r>
      <w:r>
        <w:rPr>
          <w:rFonts w:ascii="Arial" w:hAnsi="Arial"/>
          <w:color w:val="000000"/>
          <w:sz w:val="18"/>
        </w:rPr>
        <w:t xml:space="preserve"> that combines group preferences, geospatial context, and natural-language input;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outputs for repeatable match review and model debugging.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repositories, working through maintainer review, automated tests, and CI workflows across production developer tools.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reviewed contributions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additional open-source projects.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