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" w:lineRule="auto"/>
        <w:jc w:val="center"/>
        <w:rPr>
          <w:sz w:val="19"/>
          <w:szCs w:val="19"/>
        </w:rPr>
      </w:pPr>
      <w:r w:rsidDel="00000000" w:rsidR="00000000" w:rsidRPr="00000000">
        <w:rPr>
          <w:b w:val="1"/>
          <w:bCs w:val="1"/>
          <w:sz w:val="33"/>
          <w:szCs w:val="33"/>
          <w:rtl w:val="0"/>
        </w:rPr>
        <w:t xml:space="preserve">CHING-WEI (WILLIAM) KANG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6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Madison, WI | 347-866-8326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ckang53@wisc.edu</w:t>
      </w:r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linkedin.com/in/kcw2027</w:t>
      </w:r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github.com/WilliamK112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1"/>
        <w:tblW w:w="10944.0" w:type="dxa"/>
        <w:jc w:val="center"/>
        <w:tblLayout w:type="fixed"/>
        <w:tblLook w:val="0400"/>
      </w:tblPr>
      <w:tblGrid>
        <w:gridCol w:w="8496"/>
        <w:gridCol w:w="2448"/>
        <w:tblGridChange w:id="0">
          <w:tblGrid>
            <w:gridCol w:w="8496"/>
            <w:gridCol w:w="2448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University of Wisconsin-Madison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Madison, WI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B.S. Computer Science and Data Science | GPA: 3.75/4.0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Expected May 2027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Relevant Coursework: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Software Engineering, Artificial Intelligence, Data Management for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Python, TypeScript, JavaScript, SQL, Java, Go,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Web / Backend: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React, Next.js, Node.js, FastAPI, Express, PostgreSQL, Redis, SQLite, REST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Infrastructure / Delivery: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Docker, AWS, RBAC, SSE, CI/CD, automated testing, observability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OPEN SOURCE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spacing w:after="8" w:before="0" w:line="240" w:lineRule="auto"/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204 external PRs merged across 64 repos; 37 at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Microsoft, NVIDIA, Meta, Cloudflare, Docker, and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6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Microsoft APM PR #1993</w:t>
        </w:r>
      </w:hyperlink>
      <w:r w:rsidDel="00000000" w:rsidR="00000000" w:rsidRPr="00000000">
        <w:rPr>
          <w:sz w:val="21"/>
          <w:szCs w:val="21"/>
          <w:rtl w:val="0"/>
        </w:rPr>
        <w:t xml:space="preserve"> — Reused cached directory analysis to cut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500 matcher calls to 0</w:t>
      </w:r>
      <w:r w:rsidDel="00000000" w:rsidR="00000000" w:rsidRPr="00000000">
        <w:rPr>
          <w:sz w:val="21"/>
          <w:szCs w:val="21"/>
          <w:rtl w:val="0"/>
        </w:rPr>
        <w:t xml:space="preserve"> in a 500-directory benchmark while preserving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instruction placement and root behavior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1,206 compilation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7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Cloudflare vinext PR #2521</w:t>
        </w:r>
      </w:hyperlink>
      <w:r w:rsidDel="00000000" w:rsidR="00000000" w:rsidRPr="00000000">
        <w:rPr>
          <w:sz w:val="21"/>
          <w:szCs w:val="21"/>
          <w:rtl w:val="0"/>
        </w:rPr>
        <w:t xml:space="preserve"> — Propagated Next.js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serverExternalPackages</w:t>
      </w:r>
      <w:r w:rsidDel="00000000" w:rsidR="00000000" w:rsidRPr="00000000">
        <w:rPr>
          <w:sz w:val="21"/>
          <w:szCs w:val="21"/>
          <w:rtl w:val="0"/>
        </w:rPr>
        <w:t xml:space="preserve"> into Nitro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traceDeps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without duplication</w:t>
      </w:r>
      <w:r w:rsidDel="00000000" w:rsidR="00000000" w:rsidRPr="00000000">
        <w:rPr>
          <w:sz w:val="21"/>
          <w:szCs w:val="21"/>
          <w:rtl w:val="0"/>
        </w:rPr>
        <w:t xml:space="preserve">, preserving PostgreSQL and other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server-only dependencies</w:t>
      </w:r>
      <w:r w:rsidDel="00000000" w:rsidR="00000000" w:rsidRPr="00000000">
        <w:rPr>
          <w:sz w:val="21"/>
          <w:szCs w:val="21"/>
          <w:rtl w:val="0"/>
        </w:rPr>
        <w:t xml:space="preserve"> in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production bundles</w:t>
      </w:r>
      <w:r w:rsidDel="00000000" w:rsidR="00000000" w:rsidRPr="00000000">
        <w:rPr>
          <w:sz w:val="21"/>
          <w:szCs w:val="21"/>
          <w:rtl w:val="0"/>
        </w:rPr>
        <w:t xml:space="preserve"> with regression coverage.</w:t>
      </w:r>
    </w:p>
    <w:p w:rsidR="00000000" w:rsidDel="00000000" w:rsidP="00000000" w:rsidRDefault="00000000" w:rsidRPr="00000000" w14:paraId="00000011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8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Microsoft APM PR #1971</w:t>
        </w:r>
      </w:hyperlink>
      <w:r w:rsidDel="00000000" w:rsidR="00000000" w:rsidRPr="00000000">
        <w:rPr>
          <w:sz w:val="21"/>
          <w:szCs w:val="21"/>
          <w:rtl w:val="0"/>
        </w:rPr>
        <w:t xml:space="preserve"> —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Canonicalized deny-listed packages</w:t>
      </w:r>
      <w:r w:rsidDel="00000000" w:rsidR="00000000" w:rsidRPr="00000000">
        <w:rPr>
          <w:sz w:val="21"/>
          <w:szCs w:val="21"/>
          <w:rtl w:val="0"/>
        </w:rPr>
        <w:t xml:space="preserve"> across casing, `.git` suffixes, and GitHub URLs to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block policy bypasses</w:t>
      </w:r>
      <w:r w:rsidDel="00000000" w:rsidR="00000000" w:rsidRPr="00000000">
        <w:rPr>
          <w:sz w:val="21"/>
          <w:szCs w:val="21"/>
          <w:rtl w:val="0"/>
        </w:rPr>
        <w:t xml:space="preserve">, then restricted deployed POSIX binaries to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owner-only 0700 permissions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9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NVIDIA NeMo Agent Toolkit PR #2100</w:t>
        </w:r>
      </w:hyperlink>
      <w:r w:rsidDel="00000000" w:rsidR="00000000" w:rsidRPr="00000000">
        <w:rPr>
          <w:sz w:val="21"/>
          <w:szCs w:val="21"/>
          <w:rtl w:val="0"/>
        </w:rPr>
        <w:t xml:space="preserve"> —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paired LangChain start/end events</w:t>
      </w:r>
      <w:r w:rsidDel="00000000" w:rsidR="00000000" w:rsidRPr="00000000">
        <w:rPr>
          <w:sz w:val="21"/>
          <w:szCs w:val="21"/>
          <w:rtl w:val="0"/>
        </w:rPr>
        <w:t xml:space="preserve"> with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run IDs, tags, timing, inputs/outputs</w:t>
      </w:r>
      <w:r w:rsidDel="00000000" w:rsidR="00000000" w:rsidRPr="00000000">
        <w:rPr>
          <w:sz w:val="21"/>
          <w:szCs w:val="21"/>
          <w:rtl w:val="0"/>
        </w:rPr>
        <w:t xml:space="preserve">, and cleanup on success/error, preventing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stale trace state</w:t>
      </w:r>
      <w:r w:rsidDel="00000000" w:rsidR="00000000" w:rsidRPr="00000000">
        <w:rPr>
          <w:sz w:val="21"/>
          <w:szCs w:val="21"/>
          <w:rtl w:val="0"/>
        </w:rPr>
        <w:t xml:space="preserve"> and validating complete agent lifecycles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684 package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3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0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Meta DotSlash PR #16</w:t>
        </w:r>
      </w:hyperlink>
      <w:r w:rsidDel="00000000" w:rsidR="00000000" w:rsidRPr="00000000">
        <w:rPr>
          <w:sz w:val="21"/>
          <w:szCs w:val="21"/>
          <w:rtl w:val="0"/>
        </w:rPr>
        <w:t xml:space="preserve"> — Verified GitHub release assets with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SHA-256</w:t>
      </w:r>
      <w:r w:rsidDel="00000000" w:rsidR="00000000" w:rsidRPr="00000000">
        <w:rPr>
          <w:sz w:val="21"/>
          <w:szCs w:val="21"/>
          <w:rtl w:val="0"/>
        </w:rPr>
        <w:t xml:space="preserve"> before extraction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macOS, Windows, ARM64, and x86-64</w:t>
      </w:r>
      <w:r w:rsidDel="00000000" w:rsidR="00000000" w:rsidRPr="00000000">
        <w:rPr>
          <w:sz w:val="21"/>
          <w:szCs w:val="21"/>
          <w:rtl w:val="0"/>
        </w:rPr>
        <w:t xml:space="preserve">, rejecting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missing or mismatched digests</w:t>
      </w:r>
      <w:r w:rsidDel="00000000" w:rsidR="00000000" w:rsidRPr="00000000">
        <w:rPr>
          <w:sz w:val="21"/>
          <w:szCs w:val="21"/>
          <w:rtl w:val="0"/>
        </w:rPr>
        <w:t xml:space="preserve"> before installation and closing a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cross-platform supply-chain gap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1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Docker CLI PR #6957</w:t>
        </w:r>
      </w:hyperlink>
      <w:r w:rsidDel="00000000" w:rsidR="00000000" w:rsidRPr="00000000">
        <w:rPr>
          <w:sz w:val="21"/>
          <w:szCs w:val="21"/>
          <w:rtl w:val="0"/>
        </w:rPr>
        <w:t xml:space="preserve"> — Routed image-push notes through Docker’s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shared TUI output</w:t>
      </w:r>
      <w:r w:rsidDel="00000000" w:rsidR="00000000" w:rsidRPr="00000000">
        <w:rPr>
          <w:sz w:val="21"/>
          <w:szCs w:val="21"/>
          <w:rtl w:val="0"/>
        </w:rPr>
        <w:t xml:space="preserve"> and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NO_COLOR regression coverage</w:t>
      </w:r>
      <w:r w:rsidDel="00000000" w:rsidR="00000000" w:rsidRPr="00000000">
        <w:rPr>
          <w:sz w:val="21"/>
          <w:szCs w:val="21"/>
          <w:rtl w:val="0"/>
        </w:rPr>
        <w:t xml:space="preserve">, removing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ANSI escapes</w:t>
      </w:r>
      <w:r w:rsidDel="00000000" w:rsidR="00000000" w:rsidRPr="00000000">
        <w:rPr>
          <w:sz w:val="21"/>
          <w:szCs w:val="21"/>
          <w:rtl w:val="0"/>
        </w:rPr>
        <w:t xml:space="preserve"> and keeping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accessible logs, terminals, and CI automation deterministic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2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NVIDIA NemoClaw PR #6084</w:t>
        </w:r>
      </w:hyperlink>
      <w:r w:rsidDel="00000000" w:rsidR="00000000" w:rsidRPr="00000000">
        <w:rPr>
          <w:sz w:val="21"/>
          <w:szCs w:val="21"/>
          <w:rtl w:val="0"/>
        </w:rPr>
        <w:t xml:space="preserve"> —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verified user-local shims</w:t>
      </w:r>
      <w:r w:rsidDel="00000000" w:rsidR="00000000" w:rsidRPr="00000000">
        <w:rPr>
          <w:sz w:val="21"/>
          <w:szCs w:val="21"/>
          <w:rtl w:val="0"/>
        </w:rPr>
        <w:t xml:space="preserve"> for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all 3 CLI aliases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POSIX and Windows</w:t>
      </w:r>
      <w:r w:rsidDel="00000000" w:rsidR="00000000" w:rsidRPr="00000000">
        <w:rPr>
          <w:sz w:val="21"/>
          <w:szCs w:val="21"/>
          <w:rtl w:val="0"/>
        </w:rPr>
        <w:t xml:space="preserve">, restoring documented commands while preserving failures and keeping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secondary aliases best-effort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keepNext w:val="1"/>
        <w:keepLines w:val="1"/>
        <w:pBdr>
          <w:top w:color="000000" w:space="0" w:sz="0" w:val="none"/>
          <w:bottom w:color="000000" w:space="0" w:sz="0" w:val="none"/>
          <w:between w:color="000000" w:space="0" w:sz="0" w:val="none"/>
        </w:pBdr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3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hflow PR #184</w:t>
        </w:r>
      </w:hyperlink>
      <w:r w:rsidDel="00000000" w:rsidR="00000000" w:rsidRPr="00000000">
        <w:rPr>
          <w:sz w:val="21"/>
          <w:szCs w:val="21"/>
          <w:rtl w:val="0"/>
        </w:rPr>
        <w:t xml:space="preserve"> — Implemented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lossless H.264 AUD repair</w:t>
      </w:r>
      <w:r w:rsidDel="00000000" w:rsidR="00000000" w:rsidRPr="00000000">
        <w:rPr>
          <w:sz w:val="21"/>
          <w:szCs w:val="21"/>
          <w:rtl w:val="0"/>
        </w:rPr>
        <w:t xml:space="preserve"> for ROS2 CDR/protobuf streams, distinguishing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multi-slice</w:t>
      </w:r>
      <w:r w:rsidDel="00000000" w:rsidR="00000000" w:rsidRPr="00000000">
        <w:rPr>
          <w:sz w:val="21"/>
          <w:szCs w:val="21"/>
          <w:rtl w:val="0"/>
        </w:rPr>
        <w:t xml:space="preserve"> from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invalid multi-picture data</w:t>
      </w:r>
      <w:r w:rsidDel="00000000" w:rsidR="00000000" w:rsidRPr="00000000">
        <w:rPr>
          <w:sz w:val="21"/>
          <w:szCs w:val="21"/>
          <w:rtl w:val="0"/>
        </w:rPr>
        <w:t xml:space="preserve"> while preserving conforming payloads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byte-for-byte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997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tbl>
      <w:tblPr>
        <w:tblStyle w:val="Table2"/>
        <w:tblW w:w="10944.0" w:type="dxa"/>
        <w:jc w:val="center"/>
        <w:tblLayout w:type="fixed"/>
        <w:tblLook w:val="0400"/>
      </w:tblPr>
      <w:tblGrid>
        <w:gridCol w:w="6600"/>
        <w:gridCol w:w="4344"/>
        <w:tblGridChange w:id="0">
          <w:tblGrid>
            <w:gridCol w:w="6600"/>
            <w:gridCol w:w="434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Full-Stack Engineering Intern | Global AI (Global API Inc.)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New York, NY | Hybrid | May 2026–Present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Led Python/FastAPI backend development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an AI video pilot producing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~50 videos/day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; orchestrated parallel jobs with PostgreSQL/Redis, cutting turnaround from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20+ to ~12 minutes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Cut per-video model cost by 70–80%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through staged execution, cached Gemini outputs, reusable intermediate assets, and model routing that avoided repeated generation calls.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Raised completion from 90% on first attempt to 99% after retries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using checkpoints, idempotent retries, and resumable execution, recovering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90% of initially failed jobs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Shipped a Next.js/TypeScript dashboard with SSE progress streaming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and per-stage reruns; partnered with the CEO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4 departments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to translate operating needs into product workflows.</w:t>
      </w:r>
      <w:r w:rsidDel="00000000" w:rsidR="00000000" w:rsidRPr="00000000">
        <w:rPr>
          <w:rtl w:val="0"/>
        </w:rPr>
      </w:r>
    </w:p>
    <w:tbl>
      <w:tblPr>
        <w:tblStyle w:val="Table3"/>
        <w:tblW w:w="10944.0" w:type="dxa"/>
        <w:jc w:val="center"/>
        <w:tblLayout w:type="fixed"/>
        <w:tblLook w:val="0400"/>
      </w:tblPr>
      <w:tblGrid>
        <w:gridCol w:w="6800"/>
        <w:gridCol w:w="4144"/>
        <w:tblGridChange w:id="0">
          <w:tblGrid>
            <w:gridCol w:w="6800"/>
            <w:gridCol w:w="414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AI &amp; SWE Intern | Guangdong Akang Health Technology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China | On-site | Jul 2026–Aug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Built retrieval interfaces and JSON/SQLite pipelines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ingesting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1M+ web documents from 30+ feeds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and standardizing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4.5M+ records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reusable pharmaceutical, legal, and company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Automated data-quality checks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completeness, citations, and source coverage; captured source IDs, URLs, retrieval dates, and validation metadata for reproducible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Designed multi-agent research workflows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with evidence ranking and human-review checkpoints, keeping pharmaceutical findings traceable and reviewable before internal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Delivered multilingual translation and fine-tuning workflows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internal WeChat tools and taught AI fundamentals to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100+ managers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, supporting adoption and reuse of domain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tbl>
      <w:tblPr>
        <w:tblStyle w:val="Table4"/>
        <w:tblW w:w="10944.0" w:type="dxa"/>
        <w:jc w:val="center"/>
        <w:tblLayout w:type="fixed"/>
        <w:tblLook w:val="0400"/>
      </w:tblPr>
      <w:tblGrid>
        <w:gridCol w:w="8496"/>
        <w:gridCol w:w="2448"/>
        <w:tblGridChange w:id="0">
          <w:tblGrid>
            <w:gridCol w:w="8496"/>
            <w:gridCol w:w="2448"/>
          </w:tblGrid>
        </w:tblGridChange>
      </w:tblGrid>
      <w:tr>
        <w:trPr>
          <w:cantSplit w:val="0"/>
          <w:trHeight w:val="262.4794921875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ClearMove — Rental Evidence 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6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Oct 2025–Present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keepLines w:val="1"/>
        <w:spacing w:after="8" w:before="0" w:line="240" w:lineRule="auto"/>
        <w:ind w:left="230" w:hanging="155"/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Built a Next.js/React/TypeScript platform spanning 21 API routes and 10 PostgreSQL tables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, integrating onboarding, lease/checklist parsing, validation, and </w:t>
      </w:r>
      <w:r w:rsidDel="00000000" w:rsidR="00000000" w:rsidRPr="00000000">
        <w:rPr>
          <w:sz w:val="21"/>
          <w:szCs w:val="21"/>
          <w:rtl w:val="0"/>
        </w:rPr>
        <w:t xml:space="preserve">timestamped PDF reports for stakeholder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Lines w:val="1"/>
        <w:spacing w:after="0" w:before="0" w:line="240" w:lineRule="auto"/>
        <w:ind w:left="230" w:hanging="155"/>
        <w:jc w:val="lef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Implemented token-based workflows and auditable exports</w:t>
      </w:r>
      <w:r w:rsidDel="00000000" w:rsidR="00000000" w:rsidRPr="00000000">
        <w:rPr>
          <w:sz w:val="21"/>
          <w:szCs w:val="21"/>
          <w:rtl w:val="0"/>
        </w:rPr>
        <w:t xml:space="preserve">, turning inspection and lease inputs into reproducible, shareable records for stakeholder review and downstream reporting.</w:t>
      </w:r>
    </w:p>
    <w:sectPr>
      <w:pgSz w:h="15840" w:w="12240" w:orient="portrait"/>
      <w:pgMar w:bottom="461" w:top="461" w:left="648" w:right="6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docker/cli/pull/6957" TargetMode="External"/><Relationship Id="rId10" Type="http://schemas.openxmlformats.org/officeDocument/2006/relationships/hyperlink" Target="https://github.com/facebook/install-dotslash/pull/16" TargetMode="External"/><Relationship Id="rId13" Type="http://schemas.openxmlformats.org/officeDocument/2006/relationships/hyperlink" Target="https://github.com/Hebbian-Robotics/hflow/pull/184" TargetMode="External"/><Relationship Id="rId12" Type="http://schemas.openxmlformats.org/officeDocument/2006/relationships/hyperlink" Target="https://github.com/NVIDIA/NemoClaw/pull/608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VIDIA/NeMo-Agent-Toolkit/pull/2100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microsoft/apm/pull/1993" TargetMode="External"/><Relationship Id="rId7" Type="http://schemas.openxmlformats.org/officeDocument/2006/relationships/hyperlink" Target="https://github.com/cloudflare/vinext/pull/2521" TargetMode="External"/><Relationship Id="rId8" Type="http://schemas.openxmlformats.org/officeDocument/2006/relationships/hyperlink" Target="https://github.com/microsoft/apm/pull/1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