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integrating Gemini model calls into FastAPI services backed by PostgreSQL and Redis for reliable multistage inference workflows with structured validation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Orchestrated parallel keyframe and video tasks</w:t>
      </w:r>
      <w:r>
        <w:rPr>
          <w:rFonts w:ascii="Arial" w:hAnsi="Arial"/>
          <w:color w:val="000000"/>
          <w:sz w:val="18"/>
        </w:rPr>
        <w:t xml:space="preserve"> with cache-backed intermediate outputs, reducing repeated model calls while exposing real-time progress through SSE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with the CEO and four departments</w:t>
      </w:r>
      <w:r>
        <w:rPr>
          <w:rFonts w:ascii="Arial" w:hAnsi="Arial"/>
          <w:color w:val="000000"/>
          <w:sz w:val="18"/>
        </w:rPr>
        <w:t xml:space="preserve"> to translate AI workflow needs into production features with RBAC, observability, validation, and CI/CD controls for repeatable releases, stakeholder review, and operational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multi-agent research workflows</w:t>
      </w:r>
      <w:r>
        <w:rPr>
          <w:rFonts w:ascii="Arial" w:hAnsi="Arial"/>
          <w:color w:val="000000"/>
          <w:sz w:val="18"/>
        </w:rPr>
        <w:t xml:space="preserve"> with evidence grading, human review checkpoints, and automated validation for traceable pharmaceutical market intelligence with source provenance, citation checks,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searchable interfaces and structured exports</w:t>
      </w:r>
      <w:r>
        <w:rPr>
          <w:rFonts w:ascii="Arial" w:hAnsi="Arial"/>
          <w:color w:val="000000"/>
          <w:sz w:val="18"/>
        </w:rPr>
        <w:t xml:space="preserve"> with source IDs, retrieval dates, and citation checks so AI-assisted findings remained auditable and reviewable across legal evidence, company data, and partner-verification workflows.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