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Data Structures &amp; Algorithms, Artificial Intelligence, Computer Engineering, Discrete Math, Statistical Modeling, Linear Algebra.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Java, SQL,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Node.js, FastAPI, Express, PostgreSQL, Redis, SQLite, Docker, AWS, REST APIs, RBAC, SSE,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PROFESSIONAL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for an AI video generation platform, building FastAPI services and PostgreSQL/Redis workflows for multistage media jobs with Gemini integration, asynchronous orchestration, validation,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Implemented parallel task execution</w:t>
      </w:r>
      <w:r>
        <w:rPr>
          <w:rFonts w:ascii="Arial" w:hAnsi="Arial"/>
          <w:color w:val="000000"/>
          <w:sz w:val="18"/>
        </w:rPr>
        <w:t>, cache-backed processing, RBAC, observability, and CI/CD to reduce repeated work and improve reliability across long-running generation workflows and support repeatable production releases.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Partnered directly with the CEO and four departments</w:t>
      </w:r>
      <w:r>
        <w:rPr>
          <w:rFonts w:ascii="Arial" w:hAnsi="Arial"/>
          <w:color w:val="000000"/>
          <w:sz w:val="18"/>
        </w:rPr>
        <w:t xml:space="preserve"> to translate product requirements into an SSE-streamed dashboard with real-time generation progress and operational visibility for stakeholder review, debugging, and release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searchable research interfaces and structured JSON/SQLite pipelines</w:t>
      </w:r>
      <w:r>
        <w:rPr>
          <w:rFonts w:ascii="Arial" w:hAnsi="Arial"/>
          <w:color w:val="000000"/>
          <w:sz w:val="18"/>
        </w:rPr>
        <w:t>, normalizing multi-source records with provenance, validation metadata, reproducible exports, and traceable transformations across reports, evidence, company, and partner data.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Implemented automated checks</w:t>
      </w:r>
      <w:r>
        <w:rPr>
          <w:rFonts w:ascii="Arial" w:hAnsi="Arial"/>
          <w:color w:val="000000"/>
          <w:sz w:val="18"/>
        </w:rPr>
        <w:t xml:space="preserve"> for completeness, citations, and source coverage, combining human review checkpoints with auditable workflows for reliable pharmaceutical research, traceable review, and downstream decision support.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Python linear model</w:t>
      </w:r>
      <w:r>
        <w:rPr>
          <w:rFonts w:ascii="Arial" w:hAnsi="Arial"/>
          <w:color w:val="000000"/>
          <w:sz w:val="18"/>
        </w:rPr>
        <w:t xml:space="preserve"> and multi-source analysis workflow to forecast AI talent-allocation trends and translate policy data into evidence for national research stakeholders with documented assumptions and reproducible analysis.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REST APIs,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a deployed full-stack platform</w:t>
      </w:r>
      <w:r>
        <w:rPr>
          <w:rFonts w:ascii="Arial" w:hAnsi="Arial"/>
          <w:color w:val="000000"/>
          <w:sz w:val="18"/>
        </w:rPr>
        <w:t xml:space="preserve"> that converts lease and inspection inputs into auditable, timestamped PDFs across 21 API routes and 10 PostgreSQL tables, informed by 50+ stakeholder interviews and production-ready data exports.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REST APIs, persistent run state, automated tests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orchestration API</w:t>
      </w:r>
      <w:r>
        <w:rPr>
          <w:rFonts w:ascii="Arial" w:hAnsi="Arial"/>
          <w:color w:val="000000"/>
          <w:sz w:val="18"/>
        </w:rPr>
        <w:t xml:space="preserve"> with schema validation, persistent run memory, task routing, and QA-gated document exports; covered core workflows with seven automated tests and repeatable QA regression checks across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full-stack recommendation workflow</w:t>
      </w:r>
      <w:r>
        <w:rPr>
          <w:rFonts w:ascii="Arial" w:hAnsi="Arial"/>
          <w:color w:val="000000"/>
          <w:sz w:val="18"/>
        </w:rPr>
        <w:t xml:space="preserve"> that combines group preferences, geospatial context, and natural-language input; earned Second Place at the 2026 Cursor Hackathon through an explainable, location-aware group decision flow.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