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00000"/>
          <w:sz w:val="30"/>
        </w:rPr>
        <w:t>CHING-WEI (WILLIAM) KANG</w:t>
      </w:r>
    </w:p>
    <w:p>
      <w:pPr>
        <w:spacing w:after="30"/>
        <w:jc w:val="center"/>
      </w:pPr>
      <w:r>
        <w:rPr>
          <w:rFonts w:ascii="Arial" w:hAnsi="Arial"/>
          <w:color w:val="000000"/>
          <w:sz w:val="18"/>
        </w:rPr>
        <w:t>Madison, WI</w:t>
      </w:r>
      <w:r>
        <w:rPr>
          <w:rFonts w:ascii="Arial" w:hAnsi="Arial"/>
          <w:color w:val="000000"/>
          <w:sz w:val="18"/>
        </w:rPr>
        <w:t xml:space="preserve"> | </w:t>
      </w:r>
      <w:r>
        <w:rPr>
          <w:rFonts w:ascii="Arial" w:hAnsi="Arial"/>
          <w:color w:val="000000"/>
          <w:sz w:val="18"/>
        </w:rPr>
        <w:t>347-866-8326</w:t>
      </w:r>
      <w:r>
        <w:rPr>
          <w:rFonts w:ascii="Arial" w:hAnsi="Arial"/>
          <w:color w:val="000000"/>
          <w:sz w:val="18"/>
        </w:rPr>
        <w:t xml:space="preserve"> | </w:t>
      </w:r>
      <w:hyperlink r:id="rId9">
        <w:r>
          <w:rPr>
            <w:rFonts w:ascii="Arial" w:hAnsi="Arial"/>
            <w:color w:val="0563C1"/>
            <w:u w:val="single"/>
            <w:sz w:val="18"/>
            <w:szCs w:val="18"/>
          </w:rPr>
          <w:t>ckang53@wisc.edu</w:t>
        </w:r>
      </w:hyperlink>
      <w:r>
        <w:rPr>
          <w:rFonts w:ascii="Arial" w:hAnsi="Arial"/>
          <w:color w:val="000000"/>
          <w:sz w:val="18"/>
        </w:rPr>
        <w:t xml:space="preserve"> | </w:t>
      </w:r>
      <w:hyperlink r:id="rId10">
        <w:r>
          <w:rPr>
            <w:rFonts w:ascii="Arial" w:hAnsi="Arial"/>
            <w:color w:val="0563C1"/>
            <w:u w:val="single"/>
            <w:sz w:val="18"/>
            <w:szCs w:val="18"/>
          </w:rPr>
          <w:t>linkedin.com/in/kcw2027</w:t>
        </w:r>
      </w:hyperlink>
      <w:r>
        <w:rPr>
          <w:rFonts w:ascii="Arial" w:hAnsi="Arial"/>
          <w:color w:val="000000"/>
          <w:sz w:val="18"/>
        </w:rPr>
        <w:t xml:space="preserve"> | </w:t>
      </w:r>
      <w:hyperlink r:id="rId11">
        <w:r>
          <w:rPr>
            <w:rFonts w:ascii="Arial" w:hAnsi="Arial"/>
            <w:color w:val="0563C1"/>
            <w:u w:val="single"/>
            <w:sz w:val="18"/>
            <w:szCs w:val="18"/>
          </w:rPr>
          <w:t>github.com/WilliamK112</w:t>
        </w:r>
      </w:hyperlink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EDUCATION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9"/>
        </w:rPr>
        <w:t>University of Wisconsin-Madison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Madison, WI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 w:val="0"/>
          <w:color w:val="000000"/>
          <w:sz w:val="18"/>
        </w:rPr>
        <w:t>B.S. Computer Science and Data Science | GPA: 3.75/4.0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Expected May 2027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Relevant coursework: </w:t>
      </w:r>
      <w:r>
        <w:rPr>
          <w:rFonts w:ascii="Arial" w:hAnsi="Arial"/>
          <w:color w:val="000000"/>
          <w:sz w:val="18"/>
        </w:rPr>
        <w:t>Artificial Intelligence, Statistical Modeling, Linear Algebra, Data Structures &amp; Algorithms, Data Science Programming, Discrete Math.</w:t>
      </w:r>
    </w:p>
    <w:p>
      <w:pPr>
        <w:keepNext/>
        <w:tabs>
          <w:tab w:pos="10858" w:val="right"/>
        </w:tabs>
        <w:spacing w:before="10" w:after="0"/>
      </w:pPr>
      <w:r>
        <w:rPr>
          <w:rFonts w:ascii="Arial" w:hAnsi="Arial"/>
          <w:b/>
          <w:color w:val="000000"/>
          <w:sz w:val="19"/>
        </w:rPr>
        <w:t>The George Washington University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Washington, DC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 w:val="0"/>
          <w:color w:val="000000"/>
          <w:sz w:val="18"/>
        </w:rPr>
        <w:t>Undergraduate coursework in Computer Science and Data Science | GPA: 3.94/4.0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2023 - 2024</w:t>
      </w:r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AI AND ENGINEERING SKILLS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Programming: </w:t>
      </w:r>
      <w:r>
        <w:rPr>
          <w:rFonts w:ascii="Arial" w:hAnsi="Arial"/>
          <w:color w:val="000000"/>
          <w:sz w:val="18"/>
        </w:rPr>
        <w:t>Python, TypeScript, SQL, Java, Go, C++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AI systems: </w:t>
      </w:r>
      <w:r>
        <w:rPr>
          <w:rFonts w:ascii="Arial" w:hAnsi="Arial"/>
          <w:color w:val="000000"/>
          <w:sz w:val="18"/>
        </w:rPr>
        <w:t>Gemini API, multi-agent orchestration, computer vision, reinforcement learning, JSON Schema, evaluation, human review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Engineering: </w:t>
      </w:r>
      <w:r>
        <w:rPr>
          <w:rFonts w:ascii="Arial" w:hAnsi="Arial"/>
          <w:color w:val="000000"/>
          <w:sz w:val="18"/>
        </w:rPr>
        <w:t>FastAPI, React, Next.js, Node.js, PostgreSQL, Redis, REST APIs, SSE, Docker, CI/CD</w:t>
      </w:r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RELEVANT EXPERIENCE</w:t>
      </w:r>
    </w:p>
    <w:p>
      <w:pPr>
        <w:keepNext/>
        <w:tabs>
          <w:tab w:pos="10858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Global AI (Global API Inc.)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New York, NY | Hybrid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Full-Stack Engineering Intern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May 2026 - Present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Led backend development</w:t>
      </w:r>
      <w:r>
        <w:rPr>
          <w:rFonts w:ascii="Arial" w:hAnsi="Arial"/>
          <w:color w:val="000000"/>
          <w:sz w:val="18"/>
        </w:rPr>
        <w:t xml:space="preserve"> to make an AI video generation platform production-ready, integrating Gemini inference with FastAPI, PostgreSQL, and Redis for validated multistage workflows with failure recovery.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Reduced repeated model calls and improved inference visibility</w:t>
      </w:r>
      <w:r>
        <w:rPr>
          <w:rFonts w:ascii="Arial" w:hAnsi="Arial"/>
          <w:color w:val="000000"/>
          <w:sz w:val="18"/>
        </w:rPr>
        <w:t xml:space="preserve"> by orchestrating parallel keyframe and video tasks with cached intermediates, SSE progress streaming, cache observability, and production debugging controls.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Aligned AI delivery</w:t>
      </w:r>
      <w:r>
        <w:rPr>
          <w:rFonts w:ascii="Arial" w:hAnsi="Arial"/>
          <w:color w:val="000000"/>
          <w:sz w:val="18"/>
        </w:rPr>
        <w:t xml:space="preserve"> with product and operational needs by partnering with the CEO and four departments, then implementing RBAC, validation, observability, and CI/CD controls for repeatable releases and stakeholder review.</w:t>
      </w:r>
    </w:p>
    <w:p>
      <w:pPr>
        <w:keepNext/>
        <w:tabs>
          <w:tab w:pos="10858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Guangdong Akang Health Technology Group Co., Ltd.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China | On-site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AI &amp; Software Engineering Intern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Jul 2026 - Aug 2026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Made pharmaceutical market research traceable</w:t>
      </w:r>
      <w:r>
        <w:rPr>
          <w:rFonts w:ascii="Arial" w:hAnsi="Arial"/>
          <w:color w:val="000000"/>
          <w:sz w:val="18"/>
        </w:rPr>
        <w:t xml:space="preserve"> by designing multi-agent workflows with evidence grading, human review checkpoints, source provenance, citation checks, and automated validation, enabling reproducible exports.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Enabled reviewers to verify AI-assisted findings</w:t>
      </w:r>
      <w:r>
        <w:rPr>
          <w:rFonts w:ascii="Arial" w:hAnsi="Arial"/>
          <w:color w:val="000000"/>
          <w:sz w:val="18"/>
        </w:rPr>
        <w:t xml:space="preserve"> by developing searchable interfaces and structured exports with source IDs, retrieval dates, and citation checks across legal, company, and partner-verification evidence.</w:t>
      </w:r>
    </w:p>
    <w:p>
      <w:pPr>
        <w:keepNext/>
        <w:tabs>
          <w:tab w:pos="10858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China Association for Science and Technology (CAST)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Washington, DC | Remote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Research Assistant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Dec 2024 - Feb 2025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Supported national research decisions on AI talent allocation</w:t>
      </w:r>
      <w:r>
        <w:rPr>
          <w:rFonts w:ascii="Arial" w:hAnsi="Arial"/>
          <w:color w:val="000000"/>
          <w:sz w:val="18"/>
        </w:rPr>
        <w:t xml:space="preserve"> by reconciling institutional evidence in Python, documenting model assumptions, and delivering a reproducible forecasting workflow to project stakeholders.</w:t>
      </w:r>
    </w:p>
    <w:p>
      <w:pPr>
        <w:keepNext/>
        <w:tabs>
          <w:tab w:pos="10858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The Marcus Harris Foundation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Washington, DC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Data Engineering and Automation Intern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Sep 2024 - Dec 2024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Made public nonprofit records analysis-ready</w:t>
      </w:r>
      <w:r>
        <w:rPr>
          <w:rFonts w:ascii="Arial" w:hAnsi="Arial"/>
          <w:color w:val="000000"/>
          <w:sz w:val="18"/>
        </w:rPr>
        <w:t xml:space="preserve"> by building a Python ingestion pipeline with reusable parsers, schema validation, and auditable source fields, then loading 50,000+ PostgreSQL records with 98% accuracy.</w:t>
      </w:r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SELECTED AI PROJECTS</w:t>
      </w:r>
    </w:p>
    <w:p>
      <w:pPr>
        <w:keepNext/>
        <w:tabs>
          <w:tab w:pos="10858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Multi-Agent OpenClaw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Jan 2026 - Present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TypeScript, Node.js, Express, Zod, agent orchestration, persistent memory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Built a task-routing agent system</w:t>
      </w:r>
      <w:r>
        <w:rPr>
          <w:rFonts w:ascii="Arial" w:hAnsi="Arial"/>
          <w:color w:val="000000"/>
          <w:sz w:val="18"/>
        </w:rPr>
        <w:t xml:space="preserve"> that selects workflows by complexity, persists run memory, and gates Markdown/DOCX outputs with automated QA across seven validated tests, persistent execution state, and regression-safe document workflows.</w:t>
      </w:r>
    </w:p>
    <w:p>
      <w:pPr>
        <w:keepNext/>
        <w:tabs>
          <w:tab w:pos="10858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Badminton AI Match Analysis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Python, computer vision, player tracking, pose estimation, video processing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Built a computer-vision pipeline</w:t>
      </w:r>
      <w:r>
        <w:rPr>
          <w:rFonts w:ascii="Arial" w:hAnsi="Arial"/>
          <w:color w:val="000000"/>
          <w:sz w:val="18"/>
        </w:rPr>
        <w:t xml:space="preserve"> that tracks two players, overlays pose estimates, recovers shuttle motion, and renders annotated video for repeatable match analysis, diagnostic review, structured performance comparison, and model debugging.</w:t>
      </w:r>
    </w:p>
    <w:p>
      <w:pPr>
        <w:keepNext/>
        <w:tabs>
          <w:tab w:pos="10858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Adaptive Thinking and Reinforcement Learning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Python, PyTorch, DreamerV3, PPO, adaptive halting, experiment diagnostics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Benchmarked adaptive-computation and reinforcement-learning workflows</w:t>
      </w:r>
      <w:r>
        <w:rPr>
          <w:rFonts w:ascii="Arial" w:hAnsi="Arial"/>
          <w:color w:val="000000"/>
          <w:sz w:val="18"/>
        </w:rPr>
        <w:t>, documenting sparse-retrieval failures, training behavior, reproducible evaluation results, and failure-mode analysis across adaptive computation experiments.</w:t>
      </w:r>
    </w:p>
    <w:p>
      <w:pPr>
        <w:keepNext/>
        <w:tabs>
          <w:tab w:pos="10858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ClearMove - AI Rental Evidence Platform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Oct 2025 - Present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Gemini API, Next.js, TypeScript, PostgreSQL, Drizzle ORM, pdf-lib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Integrated Gemini into a deployed evidence workflow</w:t>
      </w:r>
      <w:r>
        <w:rPr>
          <w:rFonts w:ascii="Arial" w:hAnsi="Arial"/>
          <w:color w:val="000000"/>
          <w:sz w:val="18"/>
        </w:rPr>
        <w:t xml:space="preserve"> that converts lease and inspection inputs into auditable PDFs, informed by 50+ stakeholder interviews, traceable data sources, production-ready evidence exports, and downstream review workflows.</w:t>
      </w:r>
    </w:p>
    <w:p>
      <w:pPr>
        <w:keepNext/>
        <w:tabs>
          <w:tab w:pos="10858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TableUs - AI Group Recommendation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Python, FastAPI, Gemini API, Google Maps API, preference modeling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Combined group preferences, geospatial context, and natural-language input</w:t>
      </w:r>
      <w:r>
        <w:rPr>
          <w:rFonts w:ascii="Arial" w:hAnsi="Arial"/>
          <w:color w:val="000000"/>
          <w:sz w:val="18"/>
        </w:rPr>
        <w:t xml:space="preserve"> into explainable recommendations; earned Second Place at the 2026 Cursor Hackathon.</w:t>
      </w:r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OPEN SOURCE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Contributed 201 merged pull requests</w:t>
      </w:r>
      <w:r>
        <w:rPr>
          <w:rFonts w:ascii="Arial" w:hAnsi="Arial"/>
          <w:color w:val="000000"/>
          <w:sz w:val="18"/>
        </w:rPr>
        <w:t xml:space="preserve"> to external repositories through maintainer review and CI workflows, including GitHub Docs, Docker CLI, Microsoft APM, NVIDIA NemoClaw, Meta DotSlash, and Repomix.</w:t>
      </w:r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ACHIEVEMENTS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color w:val="000000"/>
          <w:sz w:val="18"/>
        </w:rPr>
        <w:t>Second Place, 2026 Cursor Hackathon - TableUs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color w:val="000000"/>
          <w:sz w:val="18"/>
        </w:rPr>
        <w:t>Third Prize, 2025 Badger Build Fest Venture Track - ClearMove</w:t>
      </w:r>
    </w:p>
    <w:sectPr w:rsidR="00FC693F" w:rsidRPr="0006063C" w:rsidSect="00034616">
      <w:pgSz w:w="12240" w:h="15840"/>
      <w:pgMar w:top="547" w:right="691" w:bottom="547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kang53@wisc.edu" TargetMode="External"/><Relationship Id="rId10" Type="http://schemas.openxmlformats.org/officeDocument/2006/relationships/hyperlink" Target="https://www.linkedin.com/in/kcw2027/" TargetMode="External"/><Relationship Id="rId11" Type="http://schemas.openxmlformats.org/officeDocument/2006/relationships/hyperlink" Target="https://github.com/WilliamK1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