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30"/>
        </w:rPr>
        <w:t>CHING-WEI (WILLIAM) KANG</w:t>
      </w:r>
    </w:p>
    <w:p>
      <w:pPr>
        <w:spacing w:after="30"/>
        <w:jc w:val="center"/>
      </w:pPr>
      <w:r>
        <w:rPr>
          <w:rFonts w:ascii="Arial" w:hAnsi="Arial"/>
          <w:color w:val="000000"/>
          <w:sz w:val="18"/>
        </w:rPr>
        <w:t>Madison, WI</w:t>
      </w:r>
      <w:r>
        <w:rPr>
          <w:rFonts w:ascii="Arial" w:hAnsi="Arial"/>
          <w:color w:val="000000"/>
          <w:sz w:val="18"/>
        </w:rPr>
        <w:t xml:space="preserve"> | </w:t>
      </w:r>
      <w:r>
        <w:rPr>
          <w:rFonts w:ascii="Arial" w:hAnsi="Arial"/>
          <w:color w:val="000000"/>
          <w:sz w:val="18"/>
        </w:rPr>
        <w:t>347-866-8326</w:t>
      </w:r>
      <w:r>
        <w:rPr>
          <w:rFonts w:ascii="Arial" w:hAnsi="Arial"/>
          <w:color w:val="000000"/>
          <w:sz w:val="18"/>
        </w:rPr>
        <w:t xml:space="preserve"> | </w:t>
      </w:r>
      <w:hyperlink r:id="rId9">
        <w:r>
          <w:rPr>
            <w:rFonts w:ascii="Arial" w:hAnsi="Arial"/>
            <w:color w:val="0563C1"/>
            <w:u w:val="single"/>
            <w:sz w:val="18"/>
            <w:szCs w:val="18"/>
          </w:rPr>
          <w:t>ckang53@wisc.edu</w:t>
        </w:r>
      </w:hyperlink>
      <w:r>
        <w:rPr>
          <w:rFonts w:ascii="Arial" w:hAnsi="Arial"/>
          <w:color w:val="000000"/>
          <w:sz w:val="18"/>
        </w:rPr>
        <w:t xml:space="preserve"> | </w:t>
      </w:r>
      <w:hyperlink r:id="rId10">
        <w:r>
          <w:rPr>
            <w:rFonts w:ascii="Arial" w:hAnsi="Arial"/>
            <w:color w:val="0563C1"/>
            <w:u w:val="single"/>
            <w:sz w:val="18"/>
            <w:szCs w:val="18"/>
          </w:rPr>
          <w:t>linkedin.com/in/kcw2027</w:t>
        </w:r>
      </w:hyperlink>
      <w:r>
        <w:rPr>
          <w:rFonts w:ascii="Arial" w:hAnsi="Arial"/>
          <w:color w:val="000000"/>
          <w:sz w:val="18"/>
        </w:rPr>
        <w:t xml:space="preserve"> | </w:t>
      </w:r>
      <w:hyperlink r:id="rId11">
        <w:r>
          <w:rPr>
            <w:rFonts w:ascii="Arial" w:hAnsi="Arial"/>
            <w:color w:val="0563C1"/>
            <w:u w:val="single"/>
            <w:sz w:val="18"/>
            <w:szCs w:val="18"/>
          </w:rPr>
          <w:t>github.com/WilliamK112</w:t>
        </w:r>
      </w:hyperlink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EDUCATION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9"/>
        </w:rPr>
        <w:t>University of Wisconsin-Madison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Madison, WI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 w:val="0"/>
          <w:color w:val="000000"/>
          <w:sz w:val="18"/>
        </w:rPr>
        <w:t>B.S. Computer Science and Data Science | GPA: 3.75/4.0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Expected May 2027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Relevant coursework: </w:t>
      </w:r>
      <w:r>
        <w:rPr>
          <w:rFonts w:ascii="Arial" w:hAnsi="Arial"/>
          <w:color w:val="000000"/>
          <w:sz w:val="18"/>
        </w:rPr>
        <w:t>Statistical Modeling, Linear Algebra, Data Science Programming, Artificial Intelligence, Data Structures &amp; Algorithms, Discrete Math.</w:t>
      </w:r>
    </w:p>
    <w:p>
      <w:pPr>
        <w:keepNext/>
        <w:tabs>
          <w:tab w:pos="10858" w:val="right"/>
        </w:tabs>
        <w:spacing w:before="10" w:after="0"/>
      </w:pPr>
      <w:r>
        <w:rPr>
          <w:rFonts w:ascii="Arial" w:hAnsi="Arial"/>
          <w:b/>
          <w:color w:val="000000"/>
          <w:sz w:val="19"/>
        </w:rPr>
        <w:t>The George Washington University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Washington, DC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 w:val="0"/>
          <w:color w:val="000000"/>
          <w:sz w:val="18"/>
        </w:rPr>
        <w:t>Undergraduate coursework in Computer Science and Data Science | GPA: 3.94/4.0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2023 - 2024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DATA SKILLS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Programming: </w:t>
      </w:r>
      <w:r>
        <w:rPr>
          <w:rFonts w:ascii="Arial" w:hAnsi="Arial"/>
          <w:color w:val="000000"/>
          <w:sz w:val="18"/>
        </w:rPr>
        <w:t>Python, SQL, R, Java, TypeScript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Analytics: </w:t>
      </w:r>
      <w:r>
        <w:rPr>
          <w:rFonts w:ascii="Arial" w:hAnsi="Arial"/>
          <w:color w:val="000000"/>
          <w:sz w:val="18"/>
        </w:rPr>
        <w:t>Pandas, Excel, Power BI, Plotly, Matplotlib, statistical modeling, data visualization, forecasting, data quality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Data systems: </w:t>
      </w:r>
      <w:r>
        <w:rPr>
          <w:rFonts w:ascii="Arial" w:hAnsi="Arial"/>
          <w:color w:val="000000"/>
          <w:sz w:val="18"/>
        </w:rPr>
        <w:t>PostgreSQL, SQLite, REST APIs, BeautifulSoup, Requests, Power Automate, Power Apps, Microsoft Lists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DATA AND RESEARCH EXPERIENCE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Global AI (Global API Inc.)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New York, NY | Hybrid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Full-Stack Engineering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May 2026 - Present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Made long-running AI generation jobs reliable and measurable</w:t>
      </w:r>
      <w:r>
        <w:rPr>
          <w:rFonts w:ascii="Arial" w:hAnsi="Arial"/>
          <w:color w:val="000000"/>
          <w:sz w:val="18"/>
        </w:rPr>
        <w:t xml:space="preserve"> by building FastAPI workflows backed by PostgreSQL and Redis, with validation, cache-backed processing, failure recovery, and operational observability.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Improved cross-functional visibility</w:t>
      </w:r>
      <w:r>
        <w:rPr>
          <w:rFonts w:ascii="Arial" w:hAnsi="Arial"/>
          <w:color w:val="000000"/>
          <w:sz w:val="18"/>
        </w:rPr>
        <w:t xml:space="preserve"> by partnering with the CEO and four departments to translate reporting needs into an SSE-streamed dashboard for real-time progress, debugging, and release monitoring.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China Association for Science and Technology (CAST)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Washington, DC | Remote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Research Assistant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Dec 2024 - Feb 2025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Supported national AI talent-allocation research</w:t>
      </w:r>
      <w:r>
        <w:rPr>
          <w:rFonts w:ascii="Arial" w:hAnsi="Arial"/>
          <w:color w:val="000000"/>
          <w:sz w:val="18"/>
        </w:rPr>
        <w:t xml:space="preserve"> by reconciling multi-source policy evidence and building a documented Python linear model, delivering reproducible forecasts for project stakeholders.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The Marcus Harris Foundation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Washington, DC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Data Engineering and Automation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Sep 2024 - Dec 2024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Made public nonprofit tax records analysis-ready</w:t>
      </w:r>
      <w:r>
        <w:rPr>
          <w:rFonts w:ascii="Arial" w:hAnsi="Arial"/>
          <w:color w:val="000000"/>
          <w:sz w:val="18"/>
        </w:rPr>
        <w:t xml:space="preserve"> by building a Python pipeline with BeautifulSoup, Requests, and Pandas, using reusable parsers, schema validation, and auditable source fields.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Improved reporting quality</w:t>
      </w:r>
      <w:r>
        <w:rPr>
          <w:rFonts w:ascii="Arial" w:hAnsi="Arial"/>
          <w:color w:val="000000"/>
          <w:sz w:val="18"/>
        </w:rPr>
        <w:t xml:space="preserve"> by loading 50,000+ records into PostgreSQL with 98% accuracy and applying filters across EIN, filing year, tax category, and geography for reproducible management analysis.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Springer Capital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Chicago, IL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Data Analyst and Automation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Aug 2024 - Oct 2024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Enabled recurring management decisions</w:t>
      </w:r>
      <w:r>
        <w:rPr>
          <w:rFonts w:ascii="Arial" w:hAnsi="Arial"/>
          <w:color w:val="000000"/>
          <w:sz w:val="18"/>
        </w:rPr>
        <w:t xml:space="preserve"> by consolidating operational data from databases, APIs, spreadsheets, and web sources with Python, SQL, Excel, and Power BI into KPI and reporting workflows.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Reduced fragmented reporting handoffs</w:t>
      </w:r>
      <w:r>
        <w:rPr>
          <w:rFonts w:ascii="Arial" w:hAnsi="Arial"/>
          <w:color w:val="000000"/>
          <w:sz w:val="18"/>
        </w:rPr>
        <w:t xml:space="preserve"> by connecting Power Automate, Power Apps, Microsoft Lists, and Scoro CRM, improving data consistency and operational visibility across recurring processes.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Chihuo Inc.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Remote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Data Analyst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Jun 2024 - Sep 2024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Supported North American market strategy</w:t>
      </w:r>
      <w:r>
        <w:rPr>
          <w:rFonts w:ascii="Arial" w:hAnsi="Arial"/>
          <w:color w:val="000000"/>
          <w:sz w:val="18"/>
        </w:rPr>
        <w:t xml:space="preserve"> by analyzing demographic, behavioral, and preference data with Python and Excel, contributing visualizations and recommendations to a 200+ page Asian food industry white paper.</w:t>
      </w:r>
    </w:p>
    <w:p>
      <w:pPr>
        <w:keepNext/>
        <w:tabs>
          <w:tab w:pos="10858" w:val="right"/>
        </w:tabs>
        <w:spacing w:before="12" w:after="0"/>
      </w:pPr>
      <w:r>
        <w:rPr>
          <w:rFonts w:ascii="Arial" w:hAnsi="Arial"/>
          <w:b/>
          <w:color w:val="000000"/>
          <w:sz w:val="19"/>
        </w:rPr>
        <w:t>Guangdong Akang Health Technology Group Co., Ltd.</w:t>
      </w:r>
      <w:r>
        <w:tab/>
      </w:r>
      <w:r>
        <w:rPr>
          <w:rFonts w:ascii="Arial" w:hAnsi="Arial"/>
          <w:b/>
          <w:i w:val="0"/>
          <w:color w:val="000000"/>
          <w:sz w:val="19"/>
        </w:rPr>
        <w:t>China | On-site</w:t>
      </w:r>
    </w:p>
    <w:p>
      <w:pPr>
        <w:keepNext/>
        <w:tabs>
          <w:tab w:pos="10858" w:val="right"/>
        </w:tabs>
        <w:spacing w:before="0" w:after="0"/>
      </w:pPr>
      <w:r>
        <w:rPr>
          <w:rFonts w:ascii="Arial" w:hAnsi="Arial"/>
          <w:b/>
          <w:color w:val="000000"/>
          <w:sz w:val="18"/>
        </w:rPr>
        <w:t>AI &amp; Software Engineering Intern</w:t>
      </w:r>
      <w:r>
        <w:tab/>
      </w:r>
      <w:r>
        <w:rPr>
          <w:rFonts w:ascii="Arial" w:hAnsi="Arial"/>
          <w:b w:val="0"/>
          <w:i/>
          <w:color w:val="000000"/>
          <w:sz w:val="18"/>
        </w:rPr>
        <w:t>Jul 2026 - Aug 2026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Made multi-source pharmaceutical research auditable</w:t>
      </w:r>
      <w:r>
        <w:rPr>
          <w:rFonts w:ascii="Arial" w:hAnsi="Arial"/>
          <w:color w:val="000000"/>
          <w:sz w:val="18"/>
        </w:rPr>
        <w:t xml:space="preserve"> by normalizing records into JSON and SQLite datasets with source IDs, retrieval dates, validation metadata, citation checks, and reproducible exports.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SELECTED DATA PROJECTS</w:t>
      </w:r>
    </w:p>
    <w:p>
      <w:pPr>
        <w:keepNext/>
        <w:tabs>
          <w:tab w:pos="10858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ClearMove - Rental Evidence Data Platform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Oct 2025 - Present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PostgreSQL, SQL, Drizzle ORM, TypeScript, Gemini API, pdf-lib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Designed data flows across 10 PostgreSQL tables and 21 API routes</w:t>
      </w:r>
      <w:r>
        <w:rPr>
          <w:rFonts w:ascii="Arial" w:hAnsi="Arial"/>
          <w:color w:val="000000"/>
          <w:sz w:val="18"/>
        </w:rPr>
        <w:t>, converting lease and inspection inputs into traceable evidence records and timestamped PDF exports with traceable inputs, validation metadata, and reproducible transformations.</w:t>
      </w:r>
    </w:p>
    <w:p>
      <w:pPr>
        <w:keepNext/>
        <w:tabs>
          <w:tab w:pos="10858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TableUs - Group Recommendation System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Python, FastAPI, Gemini API, Google Maps API, preference modeling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Combined group preferences, geospatial context, and natural-language input</w:t>
      </w:r>
      <w:r>
        <w:rPr>
          <w:rFonts w:ascii="Arial" w:hAnsi="Arial"/>
          <w:color w:val="000000"/>
          <w:sz w:val="18"/>
        </w:rPr>
        <w:t xml:space="preserve"> into explainable restaurant recommendations; earned Second Place at the 2026 Cursor Hackathon through an explainable, location-aware group decision flow.</w:t>
      </w:r>
    </w:p>
    <w:p>
      <w:pPr>
        <w:keepNext/>
        <w:tabs>
          <w:tab w:pos="10858" w:val="right"/>
        </w:tabs>
        <w:spacing w:before="9" w:after="0"/>
      </w:pPr>
      <w:r>
        <w:rPr>
          <w:rFonts w:ascii="Arial" w:hAnsi="Arial"/>
          <w:b/>
          <w:color w:val="000000"/>
          <w:sz w:val="18"/>
        </w:rPr>
        <w:t>Badminton Match Analytics</w:t>
      </w:r>
      <w:r>
        <w:tab/>
      </w:r>
      <w:r>
        <w:rPr>
          <w:rFonts w:ascii="Arial" w:hAnsi="Arial"/>
          <w:b/>
          <w:i w:val="0"/>
          <w:color w:val="000000"/>
          <w:sz w:val="18"/>
        </w:rPr>
        <w:t>2026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Technologies: </w:t>
      </w:r>
      <w:r>
        <w:rPr>
          <w:rFonts w:ascii="Arial" w:hAnsi="Arial"/>
          <w:color w:val="000000"/>
          <w:sz w:val="18"/>
        </w:rPr>
        <w:t>Python, computer vision, tracking, pose estimation, video visualization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Produced structured two-player tracking</w:t>
      </w:r>
      <w:r>
        <w:rPr>
          <w:rFonts w:ascii="Arial" w:hAnsi="Arial"/>
          <w:color w:val="000000"/>
          <w:sz w:val="18"/>
        </w:rPr>
        <w:t>, pose overlays, shuttle recovery, and annotated video outputs for repeatable performance analysis, structured comparison, and repeatable review of player movement and rally-level outputs.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OPEN SOURCE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b/>
          <w:color w:val="000000"/>
          <w:sz w:val="18"/>
        </w:rPr>
        <w:t>Contributed 201 merged pull requests</w:t>
      </w:r>
      <w:r>
        <w:rPr>
          <w:rFonts w:ascii="Arial" w:hAnsi="Arial"/>
          <w:color w:val="000000"/>
          <w:sz w:val="18"/>
        </w:rPr>
        <w:t xml:space="preserve"> to external repositories through maintainer review and CI workflows, including GitHub Docs, Docker CLI, Microsoft APM, and NVIDIA NemoClaw.</w:t>
      </w:r>
    </w:p>
    <w:p>
      <w:pPr>
        <w:spacing w:after="9"/>
      </w:pPr>
      <w:r>
        <w:rPr>
          <w:rFonts w:ascii="Arial" w:hAnsi="Arial"/>
          <w:b/>
          <w:color w:val="000000"/>
          <w:sz w:val="18"/>
        </w:rPr>
        <w:t xml:space="preserve">Leadership: </w:t>
      </w:r>
      <w:r>
        <w:rPr>
          <w:rFonts w:ascii="Arial" w:hAnsi="Arial"/>
          <w:color w:val="000000"/>
          <w:sz w:val="18"/>
        </w:rPr>
        <w:t>Badger Blockchain E-Board, Social Media and Communications (Summer 2026 - Present); Badminton E-Board (Spring 2025 - Present).</w:t>
      </w:r>
    </w:p>
    <w:p>
      <w:pPr>
        <w:keepNext/>
        <w:spacing w:before="60" w:after="20"/>
        <w:pBdr>
          <w:bottom w:val="single" w:sz="10" w:space="1" w:color="000000"/>
        </w:pBdr>
      </w:pPr>
      <w:r>
        <w:rPr>
          <w:rFonts w:ascii="Arial" w:hAnsi="Arial"/>
          <w:b/>
          <w:color w:val="4472C4"/>
          <w:sz w:val="21"/>
        </w:rPr>
        <w:t>ACHIEVEMENTS</w:t>
      </w:r>
    </w:p>
    <w:p>
      <w:pPr>
        <w:keepLines/>
        <w:spacing w:after="11" w:line="240" w:lineRule="auto"/>
        <w:ind w:left="259" w:hanging="173"/>
      </w:pPr>
      <w:r>
        <w:rPr>
          <w:rFonts w:ascii="Arial" w:hAnsi="Arial"/>
          <w:b/>
          <w:color w:val="000000"/>
          <w:sz w:val="18"/>
        </w:rPr>
        <w:t xml:space="preserve">•  </w:t>
      </w:r>
      <w:r>
        <w:rPr>
          <w:rFonts w:ascii="Arial" w:hAnsi="Arial"/>
          <w:color w:val="000000"/>
          <w:sz w:val="18"/>
        </w:rPr>
        <w:t>Second Place: 2024 GWU Data Science Association Datathon (Python) and 2026 Cursor Hackathon (TableUs)</w:t>
      </w:r>
    </w:p>
    <w:sectPr w:rsidR="00FC693F" w:rsidRPr="0006063C" w:rsidSect="00034616">
      <w:pgSz w:w="12240" w:h="15840"/>
      <w:pgMar w:top="547" w:right="691" w:bottom="547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kang53@wisc.edu" TargetMode="External"/><Relationship Id="rId10" Type="http://schemas.openxmlformats.org/officeDocument/2006/relationships/hyperlink" Target="https://www.linkedin.com/in/kcw2027/" TargetMode="External"/><Relationship Id="rId11" Type="http://schemas.openxmlformats.org/officeDocument/2006/relationships/hyperlink" Target="https://github.com/WilliamK1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