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an AI video generation platform production-ready</w:t>
      </w:r>
      <w:r>
        <w:rPr>
          <w:rFonts w:ascii="Arial" w:hAnsi="Arial"/>
          <w:color w:val="000000"/>
          <w:sz w:val="18"/>
        </w:rPr>
        <w:t xml:space="preserve"> by leading backend development with Gemini, FastAPI, PostgreSQL, and Redis across validated multistage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work and improved operational visibility</w:t>
      </w:r>
      <w:r>
        <w:rPr>
          <w:rFonts w:ascii="Arial" w:hAnsi="Arial"/>
          <w:color w:val="000000"/>
          <w:sz w:val="18"/>
        </w:rPr>
        <w:t xml:space="preserve"> through parallel execution, caching, RBAC, observability, CI/CD, and SSE streaming, while translating priorities from the CEO and four departments into reliable releases.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international healthcare findings</w:t>
      </w:r>
      <w:r>
        <w:rPr>
          <w:rFonts w:ascii="Arial" w:hAnsi="Arial"/>
          <w:color w:val="000000"/>
          <w:sz w:val="18"/>
        </w:rPr>
        <w:t xml:space="preserve"> by building searchable interfaces and structured JSON/SQLite exports across reports, legal evidence, company data, and partner records.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institutional evidence and building a documented Python linear model for reproducible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management reporting and process visibility</w:t>
      </w:r>
      <w:r>
        <w:rPr>
          <w:rFonts w:ascii="Arial" w:hAnsi="Arial"/>
          <w:color w:val="000000"/>
          <w:sz w:val="18"/>
        </w:rPr>
        <w:t xml:space="preserve"> by analyzing operational data with Python, SQL, Excel, and Power BI and connecting Power Platform and CRM workflows.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Dungeons &amp; Dragons Voice Adventure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Live, multimodal voice interaction, dynamic visuals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Delivered a real-time storytelling system</w:t>
      </w:r>
      <w:r>
        <w:rPr>
          <w:rFonts w:ascii="Arial" w:hAnsi="Arial"/>
          <w:color w:val="000000"/>
          <w:sz w:val="18"/>
        </w:rPr>
        <w:t xml:space="preserve"> with turn-based gameplay, live agent responses, multimodal voice interaction, and dynamically generated visual feedback.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prompttrace - LLM Observability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LLM tracing, latency logging, failure analysis, cost analytics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experiment observability for LLM workflows</w:t>
      </w:r>
      <w:r>
        <w:rPr>
          <w:rFonts w:ascii="Arial" w:hAnsi="Arial"/>
          <w:color w:val="000000"/>
          <w:sz w:val="18"/>
        </w:rPr>
        <w:t>, exposing failures, latency, and spend so model behavior could be debugged and optimized across repeated runs.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llm-fit - Local Model Hardware Advisor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Local LLM hardware fit estimation, model selection, command generation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Translated device constraints into compatible local-model choices and runnable commands</w:t>
      </w:r>
      <w:r>
        <w:rPr>
          <w:rFonts w:ascii="Arial" w:hAnsi="Arial"/>
          <w:color w:val="000000"/>
          <w:sz w:val="18"/>
        </w:rPr>
        <w:t>, helping users evaluate deployment feasibility before downloading or serving a model.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Cloudflare vinext #2521:</w:t>
      </w:r>
      <w:r>
        <w:rPr>
          <w:rFonts w:ascii="Arial" w:hAnsi="Arial"/>
          <w:color w:val="000000"/>
          <w:sz w:val="18"/>
        </w:rPr>
        <w:t xml:space="preserve"> propagated resolved Next.js server externals into Nitro traceDeps while preserving and de-duplicating user configuration; added regression coverage across default packages, custom externals, development mode, and production builds.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Microsoft APM #1971:</w:t>
      </w:r>
      <w:r>
        <w:rPr>
          <w:rFonts w:ascii="Arial" w:hAnsi="Arial"/>
          <w:color w:val="000000"/>
          <w:sz w:val="18"/>
        </w:rPr>
        <w:t xml:space="preserve"> enforced least-privilege 0o700 permissions for deployed plugin executables and normalized deny-list identities to prevent bypasses through casing, .git suffixes, or alternate GitHub URL forms; added integration and mutation-regression tests.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NVIDIA NemoClaw #5676:</w:t>
      </w:r>
      <w:r>
        <w:rPr>
          <w:rFonts w:ascii="Arial" w:hAnsi="Arial"/>
          <w:color w:val="000000"/>
          <w:sz w:val="18"/>
        </w:rPr>
        <w:t xml:space="preserve"> hardened agents-list parsing against warning text and multiple JSON response schemas while preserving agent-ID filtering; validated the change with targeted tests, linting, CLI builds, and type checking.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Meta DotSlash #16:</w:t>
      </w:r>
      <w:r>
        <w:rPr>
          <w:rFonts w:ascii="Arial" w:hAnsi="Arial"/>
          <w:color w:val="000000"/>
          <w:sz w:val="18"/>
        </w:rPr>
        <w:t xml:space="preserve"> added portable SHA-256 verification for downloaded release assets before extraction, resolving platform-specific asset metadata and supporting sha256sum with a shasum fallback across macOS, Windows, and Linux release targets.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