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Statistical Modeling, Linear Algebra, Data Science Programming, Artificial Intelligence, Data Structures &amp; Algorithms,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SQL, R, Java, TypeScript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Analytics: </w:t>
      </w:r>
      <w:r>
        <w:rPr>
          <w:rFonts w:ascii="Arial" w:hAnsi="Arial"/>
          <w:color w:val="000000"/>
          <w:sz w:val="18"/>
        </w:rPr>
        <w:t>Pandas, Excel, Power BI, Plotly, Matplotlib, statistical modeling, data visualization, forecasting, data quality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Data systems: </w:t>
      </w:r>
      <w:r>
        <w:rPr>
          <w:rFonts w:ascii="Arial" w:hAnsi="Arial"/>
          <w:color w:val="000000"/>
          <w:sz w:val="18"/>
        </w:rPr>
        <w:t>PostgreSQL, SQLite, REST APIs, BeautifulSoup, Requests, Power Automate, Power Apps, Microsoft Lists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AND RESEARCH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PostgreSQL and Redis-backed FastAPI workflows</w:t>
      </w:r>
      <w:r>
        <w:rPr>
          <w:rFonts w:ascii="Arial" w:hAnsi="Arial"/>
          <w:color w:val="000000"/>
          <w:sz w:val="18"/>
        </w:rPr>
        <w:t xml:space="preserve"> for an AI video generation platform, adding validation, cache-backed processing, failure recovery, and operational observability across long-running multistage jobs.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Partnered with the CEO and four departments</w:t>
      </w:r>
      <w:r>
        <w:rPr>
          <w:rFonts w:ascii="Arial" w:hAnsi="Arial"/>
          <w:color w:val="000000"/>
          <w:sz w:val="18"/>
        </w:rPr>
        <w:t xml:space="preserve"> to translate reporting needs into an SSE-streamed stakeholder dashboard with real-time progress, debugging visibility, and release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AI policy and talent-allocation trends</w:t>
      </w:r>
      <w:r>
        <w:rPr>
          <w:rFonts w:ascii="Arial" w:hAnsi="Arial"/>
          <w:color w:val="000000"/>
          <w:sz w:val="18"/>
        </w:rPr>
        <w:t>, reconciled multi-source evidence, and built a Python linear model to support quantitative forecasting for national research stakeholders with documented assumptions and reproducible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ingestion pipeline</w:t>
      </w:r>
      <w:r>
        <w:rPr>
          <w:rFonts w:ascii="Arial" w:hAnsi="Arial"/>
          <w:color w:val="000000"/>
          <w:sz w:val="18"/>
        </w:rPr>
        <w:t xml:space="preserve"> with BeautifulSoup, Requests, and Pandas to collect, validate, and transform nonprofit tax records from public registries with schema validation, reusable parsing logic,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Parsed and loaded 50,000+ records into PostgreSQL</w:t>
      </w:r>
      <w:r>
        <w:rPr>
          <w:rFonts w:ascii="Arial" w:hAnsi="Arial"/>
          <w:color w:val="000000"/>
          <w:sz w:val="18"/>
        </w:rPr>
        <w:t xml:space="preserve"> with 98% accuracy using filters for EIN, filing year, tax category, and geography to support downstream reporting, data-quality review, and reproducible management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Collected and analyzed operational data</w:t>
      </w:r>
      <w:r>
        <w:rPr>
          <w:rFonts w:ascii="Arial" w:hAnsi="Arial"/>
          <w:color w:val="000000"/>
          <w:sz w:val="18"/>
        </w:rPr>
        <w:t xml:space="preserve"> from databases, APIs, spreadsheets, and web sources using Python, SQL, Excel, and Power BI for management reporting, operational KPI tracking, and recurring decision-support workflows.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Connected Power Automate, Power Apps, Microsoft Lists, and Scoro CRM workflows</w:t>
      </w:r>
      <w:r>
        <w:rPr>
          <w:rFonts w:ascii="Arial" w:hAnsi="Arial"/>
          <w:color w:val="000000"/>
          <w:sz w:val="18"/>
        </w:rPr>
        <w:t xml:space="preserve"> to improve data movement, reporting consistency, operational visibility, and reliable handoffs across recurring management reporting processes.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demographics, customer behavior, and consumer preferences</w:t>
      </w:r>
      <w:r>
        <w:rPr>
          <w:rFonts w:ascii="Arial" w:hAnsi="Arial"/>
          <w:color w:val="000000"/>
          <w:sz w:val="18"/>
        </w:rPr>
        <w:t xml:space="preserve"> with Python and Excel, contributing visualizations and findings to a 200+ page North American Asian food market white paper and stakeholder-ready market recommendations.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Normalized multi-source pharmaceutical research records</w:t>
      </w:r>
      <w:r>
        <w:rPr>
          <w:rFonts w:ascii="Arial" w:hAnsi="Arial"/>
          <w:color w:val="000000"/>
          <w:sz w:val="18"/>
        </w:rPr>
        <w:t xml:space="preserve"> into structured JSON and SQLite datasets with source IDs, retrieval dates, validation metadata, citation checks, and reproducible exports for auditable analysis.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DATA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Data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PostgreSQL, SQL, Drizzle ORM, TypeScript, Gemini API,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data flows across 10 PostgreSQL tables and 21 API routes</w:t>
      </w:r>
      <w:r>
        <w:rPr>
          <w:rFonts w:ascii="Arial" w:hAnsi="Arial"/>
          <w:color w:val="000000"/>
          <w:sz w:val="18"/>
        </w:rPr>
        <w:t>, converting lease and inspection inputs into traceable evidence records and timestamped PDF exports with traceable inputs, validation metadata, and reproducible transformations.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Recommendation System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restaurant recommendations;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Match Analytics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tracking, pose estimation, video visualization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Produced structured two-player tracking</w:t>
      </w:r>
      <w:r>
        <w:rPr>
          <w:rFonts w:ascii="Arial" w:hAnsi="Arial"/>
          <w:color w:val="000000"/>
          <w:sz w:val="18"/>
        </w:rPr>
        <w:t>, pose overlays, shuttle recovery, and annotated video outputs for repeatable performance analysis, structured comparison, and repeatable review of player movement and rally-level outputs.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review, automated checks, and CI workflows across GitHub Docs, Docker CLI, Microsoft APM, NVIDIA NemoClaw, Meta DotSlash, and Repomix.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