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CEEE21" w14:textId="5D78C48A" w:rsidR="00586118" w:rsidRPr="00586118" w:rsidRDefault="00586118" w:rsidP="00586118">
      <w:pPr>
        <w:rPr>
          <w:rFonts w:ascii="Times New Roman" w:hAnsi="Times New Roman" w:cs="Times New Roman"/>
        </w:rPr>
      </w:pPr>
      <w:r w:rsidRPr="00586118">
        <w:rPr>
          <w:rFonts w:ascii="Times New Roman" w:hAnsi="Times New Roman" w:cs="Times New Roman"/>
        </w:rPr>
        <w:t>Introduction</w:t>
      </w:r>
    </w:p>
    <w:p w14:paraId="7F924EF0" w14:textId="77777777" w:rsidR="00586118" w:rsidRPr="00586118" w:rsidRDefault="00586118" w:rsidP="00586118">
      <w:pPr>
        <w:rPr>
          <w:rFonts w:ascii="Times New Roman" w:hAnsi="Times New Roman" w:cs="Times New Roman"/>
        </w:rPr>
      </w:pPr>
    </w:p>
    <w:p w14:paraId="2AEB3D0F" w14:textId="24CE9EE8" w:rsidR="00586118" w:rsidRPr="00586118" w:rsidRDefault="00586118" w:rsidP="00586118">
      <w:pPr>
        <w:rPr>
          <w:rFonts w:ascii="Times New Roman" w:hAnsi="Times New Roman" w:cs="Times New Roman"/>
        </w:rPr>
      </w:pPr>
      <w:r w:rsidRPr="00586118">
        <w:rPr>
          <w:rFonts w:ascii="Times New Roman" w:hAnsi="Times New Roman" w:cs="Times New Roman"/>
        </w:rPr>
        <w:t>Related work</w:t>
      </w:r>
    </w:p>
    <w:p w14:paraId="1D922345" w14:textId="2986F518" w:rsidR="00586118" w:rsidRPr="00E40FDD" w:rsidRDefault="00E40FDD" w:rsidP="00E40FDD">
      <w:pPr>
        <w:pStyle w:val="ListParagraph"/>
        <w:numPr>
          <w:ilvl w:val="0"/>
          <w:numId w:val="2"/>
        </w:numPr>
        <w:autoSpaceDE w:val="0"/>
        <w:autoSpaceDN w:val="0"/>
        <w:adjustRightInd w:val="0"/>
        <w:spacing w:after="0" w:line="240" w:lineRule="auto"/>
        <w:rPr>
          <w:rFonts w:ascii="Times New Roman" w:hAnsi="Times New Roman" w:cs="Times New Roman"/>
          <w:kern w:val="0"/>
        </w:rPr>
      </w:pPr>
      <w:r w:rsidRPr="00E40FDD">
        <w:rPr>
          <w:rFonts w:ascii="Times New Roman" w:hAnsi="Times New Roman" w:cs="Times New Roman"/>
          <w:kern w:val="0"/>
        </w:rPr>
        <w:t>Automated Machine Learning Agent</w:t>
      </w:r>
    </w:p>
    <w:p w14:paraId="46DDAF12" w14:textId="65A0D82E" w:rsidR="00051EBF" w:rsidRPr="002577F7" w:rsidRDefault="00051EBF" w:rsidP="00E40FDD">
      <w:pPr>
        <w:pStyle w:val="ListParagraph"/>
        <w:numPr>
          <w:ilvl w:val="1"/>
          <w:numId w:val="2"/>
        </w:numPr>
        <w:autoSpaceDE w:val="0"/>
        <w:autoSpaceDN w:val="0"/>
        <w:adjustRightInd w:val="0"/>
        <w:spacing w:after="0" w:line="240" w:lineRule="auto"/>
        <w:rPr>
          <w:rFonts w:ascii="Times New Roman" w:hAnsi="Times New Roman" w:cs="Times New Roman"/>
          <w:kern w:val="0"/>
        </w:rPr>
      </w:pPr>
      <w:proofErr w:type="spellStart"/>
      <w:r w:rsidRPr="002577F7">
        <w:rPr>
          <w:rFonts w:ascii="Times New Roman" w:hAnsi="Times New Roman" w:cs="Times New Roman"/>
          <w:kern w:val="0"/>
        </w:rPr>
        <w:t>MLEvolve</w:t>
      </w:r>
      <w:proofErr w:type="spellEnd"/>
      <w:r w:rsidRPr="002577F7">
        <w:rPr>
          <w:rFonts w:ascii="Times New Roman" w:hAnsi="Times New Roman" w:cs="Times New Roman"/>
          <w:kern w:val="0"/>
        </w:rPr>
        <w:t>: A Self-Evolving Framework for Automated Machine Learning Algorithm Discovery</w:t>
      </w:r>
    </w:p>
    <w:p w14:paraId="616797BB" w14:textId="02693B0E" w:rsidR="002577F7" w:rsidRDefault="00E40FDD" w:rsidP="00E40FDD">
      <w:pPr>
        <w:pStyle w:val="ListParagraph"/>
        <w:numPr>
          <w:ilvl w:val="1"/>
          <w:numId w:val="2"/>
        </w:numPr>
        <w:autoSpaceDE w:val="0"/>
        <w:autoSpaceDN w:val="0"/>
        <w:adjustRightInd w:val="0"/>
        <w:spacing w:after="0" w:line="240" w:lineRule="auto"/>
        <w:rPr>
          <w:rFonts w:ascii="Times New Roman" w:hAnsi="Times New Roman" w:cs="Times New Roman"/>
          <w:kern w:val="0"/>
        </w:rPr>
      </w:pPr>
      <w:proofErr w:type="spellStart"/>
      <w:r w:rsidRPr="002577F7">
        <w:rPr>
          <w:rFonts w:ascii="Times New Roman" w:hAnsi="Times New Roman" w:cs="Times New Roman"/>
          <w:kern w:val="0"/>
        </w:rPr>
        <w:t>A</w:t>
      </w:r>
      <w:r w:rsidR="002577F7" w:rsidRPr="002577F7">
        <w:rPr>
          <w:rFonts w:ascii="Times New Roman" w:hAnsi="Times New Roman" w:cs="Times New Roman"/>
          <w:kern w:val="0"/>
        </w:rPr>
        <w:t>utoresearch</w:t>
      </w:r>
      <w:proofErr w:type="spellEnd"/>
    </w:p>
    <w:p w14:paraId="694C6D37" w14:textId="1AA8DC17" w:rsidR="00E40FDD" w:rsidRPr="00E40FDD" w:rsidRDefault="00E40FDD" w:rsidP="00E40FDD">
      <w:pPr>
        <w:pStyle w:val="ListParagraph"/>
        <w:numPr>
          <w:ilvl w:val="0"/>
          <w:numId w:val="2"/>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Analogical retrieval</w:t>
      </w:r>
    </w:p>
    <w:p w14:paraId="6CDE5B19" w14:textId="6FA3BFEE" w:rsidR="00586118" w:rsidRPr="002577F7" w:rsidRDefault="00586118" w:rsidP="00E40FDD">
      <w:pPr>
        <w:pStyle w:val="ListParagraph"/>
        <w:numPr>
          <w:ilvl w:val="1"/>
          <w:numId w:val="2"/>
        </w:numPr>
        <w:autoSpaceDE w:val="0"/>
        <w:autoSpaceDN w:val="0"/>
        <w:adjustRightInd w:val="0"/>
        <w:spacing w:after="0" w:line="240" w:lineRule="auto"/>
        <w:rPr>
          <w:rFonts w:ascii="Times New Roman" w:hAnsi="Times New Roman" w:cs="Times New Roman"/>
          <w:kern w:val="0"/>
        </w:rPr>
      </w:pPr>
      <w:r w:rsidRPr="002577F7">
        <w:rPr>
          <w:rFonts w:ascii="Times New Roman" w:hAnsi="Times New Roman" w:cs="Times New Roman"/>
          <w:kern w:val="0"/>
        </w:rPr>
        <w:t>Unlocking LLM Creativity in Science through</w:t>
      </w:r>
      <w:r w:rsidRPr="002577F7">
        <w:rPr>
          <w:rFonts w:ascii="Times New Roman" w:hAnsi="Times New Roman" w:cs="Times New Roman" w:hint="eastAsia"/>
          <w:kern w:val="0"/>
        </w:rPr>
        <w:t xml:space="preserve"> </w:t>
      </w:r>
      <w:r w:rsidRPr="002577F7">
        <w:rPr>
          <w:rFonts w:ascii="Times New Roman" w:hAnsi="Times New Roman" w:cs="Times New Roman"/>
          <w:kern w:val="0"/>
        </w:rPr>
        <w:t>Analogical Reasoning</w:t>
      </w:r>
    </w:p>
    <w:p w14:paraId="2A586FC4" w14:textId="66AF6E50" w:rsidR="00586118" w:rsidRPr="002577F7" w:rsidRDefault="00586118" w:rsidP="00E40FDD">
      <w:pPr>
        <w:pStyle w:val="ListParagraph"/>
        <w:numPr>
          <w:ilvl w:val="1"/>
          <w:numId w:val="2"/>
        </w:numPr>
        <w:autoSpaceDE w:val="0"/>
        <w:autoSpaceDN w:val="0"/>
        <w:adjustRightInd w:val="0"/>
        <w:spacing w:after="0" w:line="240" w:lineRule="auto"/>
        <w:rPr>
          <w:rFonts w:ascii="Times New Roman" w:hAnsi="Times New Roman" w:cs="Times New Roman"/>
          <w:kern w:val="0"/>
        </w:rPr>
      </w:pPr>
      <w:r w:rsidRPr="002577F7">
        <w:rPr>
          <w:rFonts w:ascii="Times New Roman" w:hAnsi="Times New Roman" w:cs="Times New Roman"/>
          <w:kern w:val="0"/>
        </w:rPr>
        <w:t>The Vendi Score: A Diversity Evaluation</w:t>
      </w:r>
      <w:r w:rsidRPr="002577F7">
        <w:rPr>
          <w:rFonts w:ascii="Times New Roman" w:hAnsi="Times New Roman" w:cs="Times New Roman" w:hint="eastAsia"/>
          <w:kern w:val="0"/>
        </w:rPr>
        <w:t xml:space="preserve"> </w:t>
      </w:r>
      <w:r w:rsidRPr="002577F7">
        <w:rPr>
          <w:rFonts w:ascii="Times New Roman" w:hAnsi="Times New Roman" w:cs="Times New Roman"/>
          <w:kern w:val="0"/>
        </w:rPr>
        <w:t>Metric for Machine Learning</w:t>
      </w:r>
    </w:p>
    <w:p w14:paraId="408D30F9" w14:textId="77777777" w:rsidR="00586118" w:rsidRPr="00586118" w:rsidRDefault="00586118" w:rsidP="00586118">
      <w:pPr>
        <w:autoSpaceDE w:val="0"/>
        <w:autoSpaceDN w:val="0"/>
        <w:adjustRightInd w:val="0"/>
        <w:spacing w:after="0" w:line="240" w:lineRule="auto"/>
        <w:rPr>
          <w:rFonts w:ascii="Times New Roman" w:hAnsi="Times New Roman" w:cs="Times New Roman"/>
          <w:kern w:val="0"/>
        </w:rPr>
      </w:pPr>
    </w:p>
    <w:p w14:paraId="0A5FD819" w14:textId="38859576" w:rsidR="00586118" w:rsidRDefault="00586118" w:rsidP="00C30C0A">
      <w:pPr>
        <w:autoSpaceDE w:val="0"/>
        <w:autoSpaceDN w:val="0"/>
        <w:adjustRightInd w:val="0"/>
        <w:spacing w:after="0" w:line="240" w:lineRule="auto"/>
        <w:rPr>
          <w:rFonts w:ascii="Times New Roman" w:hAnsi="Times New Roman" w:cs="Times New Roman"/>
          <w:kern w:val="0"/>
        </w:rPr>
        <w:keepNext/>
        <w:outlineLvl w:val="0"/>
      </w:pPr>
      <w:r w:rsidRPr="00C30C0A">
        <w:rPr>
          <w:rFonts w:ascii="Times New Roman" w:hAnsi="Times New Roman" w:cs="Times New Roman"/>
          <w:kern w:val="0"/>
          <w:b/>
          <w:color w:val="000000"/>
        </w:rPr>
        <w:t>Methods</w:t>
      </w:r>
    </w:p>
    <w:p>
      <w:pPr>
        <w:pStyle w:val="Normal"/>
        <w:widowControl/>
        <w:spacing w:after="160" w:line="278" w:lineRule="auto"/>
      </w:pPr>
      <w:r>
        <w:rPr>
          <w:rFonts w:ascii="Times New Roman" w:hAnsi="Times New Roman" w:cs="Times New Roman"/>
          <w:color w:val="000000"/>
          <w:sz w:val="24"/>
          <w:szCs w:val="24"/>
          <w:lang w:val="en-US"/>
        </w:rPr>
        <w:t>We augment automated machine learning agents with research-paper knowledge to inform the design of candidate solutions. Our framework separates corpus construction, knowledge retrieval, and the host agent's experimental loop. We investigate two forms of knowledge access: task-conditioned retrieval-augmented generation (RAG), which constructs a fixed literature context at initialization, and analogical reasoning, which retrieves mechanisms by abstracting the structure of a task or a limitation of the current solution. We implement these as alternative guidance mechanisms in MLEvolve and additionally integrate the analogy module into autoresearch. In both systems, retrieved suggestions inform candidate generation, while execution and validation determine whether a candidate is useful.</w:t>
      </w:r>
    </w:p>
    <w:p>
      <w:pPr>
        <w:pStyle w:val="Heading2"/>
        <w:widowControl/>
        <w:keepNext/>
        <w:keepLines/>
        <w:spacing w:before="200" w:after="120" w:line="278" w:lineRule="auto"/>
        <w:outlineLvl w:val="1"/>
      </w:pPr>
      <w:r>
        <w:rPr>
          <w:rFonts w:ascii="Times New Roman" w:hAnsi="Times New Roman" w:cs="Times New Roman"/>
          <w:b/>
          <w:color w:val="000000"/>
          <w:sz w:val="24"/>
          <w:szCs w:val="24"/>
          <w:lang w:val="en-US"/>
        </w:rPr>
        <w:t>1 Knowledge base</w:t>
      </w:r>
    </w:p>
    <w:p>
      <w:pPr>
        <w:pStyle w:val="Normal"/>
        <w:widowControl/>
        <w:spacing w:after="160" w:line="278" w:lineRule="auto"/>
      </w:pPr>
      <w:r>
        <w:rPr>
          <w:rFonts w:ascii="Times New Roman" w:hAnsi="Times New Roman" w:cs="Times New Roman"/>
          <w:color w:val="000000"/>
          <w:sz w:val="24"/>
          <w:szCs w:val="24"/>
          <w:lang w:val="en-US"/>
        </w:rPr>
        <w:t>We construct a literature knowledge base from machine learning and natural language processing conference papers. The current paper-corpus snapshot contains 12,800 records from the 2024 proceedings of NeurIPS (4,493), AAAI (2,813), ICML (2,610), ACL (1,962), and NAACL (922). Each reference preserves the paper title, abstract, venue, source and PDF URLs, topic assignments, tags, and an LLM-generated one-sentence summary. The corpus therefore retains links to the original scientific evidence alongside the metadata used for retrieval.</w:t>
      </w:r>
    </w:p>
    <w:p>
      <w:pPr>
        <w:pStyle w:val="Normal"/>
        <w:widowControl/>
        <w:spacing w:after="160" w:line="278" w:lineRule="auto"/>
      </w:pPr>
      <w:r>
        <w:rPr>
          <w:rFonts w:ascii="Times New Roman" w:hAnsi="Times New Roman" w:cs="Times New Roman"/>
          <w:color w:val="000000"/>
          <w:sz w:val="24"/>
          <w:szCs w:val="24"/>
          <w:lang w:val="en-US"/>
        </w:rPr>
        <w:t>Corpus construction first embeds each title and abstract with all-MiniLM-L6-v2 and applies agglomerative clustering within each venue-year collection, using cosine distance, average linkage, and 80 initial clusters. An LLM assigns descriptive names to the clusters; clusters with identical names are merged. A subsequent LLM classification pass assigns papers to the resulting topic vocabulary and generates tags and summaries, allowing multiple topic memberships. Topic directories contain a paper index and individual reference files. The searchable paper corpus merges repeated topic placements by venue and paper identifier while retaining all associated categories.</w:t>
      </w:r>
    </w:p>
    <w:p>
      <w:pPr>
        <w:pStyle w:val="Normal"/>
        <w:widowControl/>
        <w:spacing w:after="160" w:line="278" w:lineRule="auto"/>
      </w:pPr>
      <w:r>
        <w:rPr>
          <w:rFonts w:ascii="Times New Roman" w:hAnsi="Times New Roman" w:cs="Times New Roman"/>
          <w:color w:val="000000"/>
          <w:sz w:val="24"/>
          <w:szCs w:val="24"/>
          <w:lang w:val="en-US"/>
        </w:rPr>
        <w:t>The two retrieval methods use different representations of this source collection. Traditional RAG uses an abstract-level dense index to identify papers and a cache of structured methodology extractions to supply actionable techniques. Each extracted technique records its description, reported positive, negative, or neutral effect, effect magnitude when available, supporting quotation, and applicability conditions. Positive-effect entries are eligible for injection; their labels describe the source paper's reported findings and do not establish effectiveness on the target task. The analogy method instead searches a lightweight paper corpus containing titles, summaries, and abstracts, then reads selected original papers on demand. Its corpus construction does not require dense embeddings or advance methodology extraction. Corpus manifests record record counts, venue composition, schema version, and a digest of the exported records, allowing the literature snapshot used by a run to be identified.</w:t>
      </w:r>
    </w:p>
    <w:p>
      <w:pPr>
        <w:pStyle w:val="Heading2"/>
        <w:widowControl/>
        <w:keepNext/>
        <w:keepLines/>
        <w:spacing w:before="200" w:after="120" w:line="278" w:lineRule="auto"/>
        <w:outlineLvl w:val="1"/>
      </w:pPr>
      <w:r>
        <w:rPr>
          <w:rFonts w:ascii="Times New Roman" w:hAnsi="Times New Roman" w:cs="Times New Roman"/>
          <w:b/>
          <w:color w:val="000000"/>
          <w:sz w:val="24"/>
          <w:szCs w:val="24"/>
          <w:lang w:val="en-US"/>
        </w:rPr>
        <w:t>2 Traditional RAG method</w:t>
      </w:r>
    </w:p>
    <w:p>
      <w:pPr>
        <w:pStyle w:val="Normal"/>
        <w:widowControl/>
        <w:spacing w:after="160" w:line="278" w:lineRule="auto"/>
      </w:pPr>
      <w:r>
        <w:rPr>
          <w:rFonts w:ascii="Times New Roman" w:hAnsi="Times New Roman" w:cs="Times New Roman"/>
          <w:color w:val="000000"/>
          <w:sz w:val="24"/>
          <w:szCs w:val="24"/>
          <w:lang w:val="en-US"/>
        </w:rPr>
        <w:t>Our traditional RAG baseline retrieves knowledge once, before candidate generation. An LLM distils the competition description into a 50–80-word statement covering input modality and scale, prediction task, evaluation metric, and relevant modelling characteristics. Administrative material and submission instructions are excluded. The query is cached by the task-description hash, so runs using the same populated cache reuse the same task representation. If distillation fails, retrieval falls back to a bounded prefix of the original description.</w:t>
      </w:r>
    </w:p>
    <w:p>
      <w:pPr>
        <w:pStyle w:val="Normal"/>
        <w:widowControl/>
        <w:spacing w:after="160" w:line="278" w:lineRule="auto"/>
      </w:pPr>
      <w:r>
        <w:rPr>
          <w:rFonts w:ascii="Times New Roman" w:hAnsi="Times New Roman" w:cs="Times New Roman"/>
          <w:color w:val="000000"/>
          <w:sz w:val="24"/>
          <w:szCs w:val="24"/>
          <w:lang w:val="en-US"/>
        </w:rPr>
        <w:t>Papers are represented by their title, summary, and abstract and embedded with BGE-M3. The dense vectors and query are mean-centred using the corpus mean and then normalized. BM25 lexical retrieval and FAISS dense retrieval produce separate ranked lists, each containing up to 50 papers. We combine them using reciprocal rank fusion:</w:t>
      </w:r>
    </w:p>
    <w:p>
      <w:pPr>
        <w:pStyle w:val="Normal"/>
        <w:widowControl/>
        <w:keepNext/>
        <w:spacing w:before="40" w:after="160" w:line="278" w:lineRule="auto"/>
        <w:jc w:val="center"/>
      </w:pPr>
      <m:oMath>
        <m:r>
          <m:t>S(p, q) = </m:t>
        </m:r>
        <m:f>
          <m:num>
            <m:r>
              <m:rPr>
                <m:sty m:val="p"/>
              </m:rPr>
              <m:t>0.5</m:t>
            </m:r>
          </m:num>
          <m:den>
            <m:r>
              <m:rPr>
                <m:sty m:val="p"/>
              </m:rPr>
              <m:t>60 + </m:t>
            </m:r>
            <m:sSub>
              <m:e>
                <m:r>
                  <m:t>r</m:t>
                </m:r>
              </m:e>
              <m:sub>
                <m:r>
                  <m:rPr>
                    <m:sty m:val="p"/>
                  </m:rPr>
                  <m:t>B</m:t>
                </m:r>
              </m:sub>
            </m:sSub>
            <m:r>
              <m:t>(p, q)</m:t>
            </m:r>
          </m:den>
        </m:f>
        <m:r>
          <m:t> + </m:t>
        </m:r>
        <m:f>
          <m:num>
            <m:r>
              <m:rPr>
                <m:sty m:val="p"/>
              </m:rPr>
              <m:t>0.5</m:t>
            </m:r>
          </m:num>
          <m:den>
            <m:r>
              <m:rPr>
                <m:sty m:val="p"/>
              </m:rPr>
              <m:t>60 + </m:t>
            </m:r>
            <m:sSub>
              <m:e>
                <m:r>
                  <m:t>r</m:t>
                </m:r>
              </m:e>
              <m:sub>
                <m:r>
                  <m:rPr>
                    <m:sty m:val="p"/>
                  </m:rPr>
                  <m:t>D</m:t>
                </m:r>
              </m:sub>
            </m:sSub>
            <m:r>
              <m:t>(p, q)</m:t>
            </m:r>
          </m:den>
        </m:f>
      </m:oMath>
    </w:p>
    <w:p>
      <w:pPr>
        <w:pStyle w:val="Normal"/>
        <w:widowControl/>
        <w:spacing w:after="160" w:line="278" w:lineRule="auto"/>
      </w:pPr>
      <w:r>
        <w:rPr>
          <w:rFonts w:ascii="Times New Roman" w:hAnsi="Times New Roman" w:cs="Times New Roman"/>
          <w:color w:val="000000"/>
          <w:sz w:val="24"/>
          <w:szCs w:val="24"/>
          <w:lang w:val="en-US"/>
        </w:rPr>
        <w:t>Here, the two ranks are the one-based positions in the BM25 and dense lists, respectively; a term contributes zero when the paper is absent from that ranked list. The fused pool contains up to 40 papers, excluding papers whose fused score is below 5% of the best score. Mean-centring is applied to dense retrieval, while the lexical ranking remains unchanged.</w:t>
      </w:r>
    </w:p>
    <w:p>
      <w:pPr>
        <w:pStyle w:val="Normal"/>
        <w:widowControl/>
        <w:spacing w:after="160" w:line="278" w:lineRule="auto"/>
      </w:pPr>
      <w:r>
        <w:rPr>
          <w:rFonts w:ascii="Times New Roman" w:hAnsi="Times New Roman" w:cs="Times New Roman"/>
          <w:color w:val="000000"/>
          <w:sz w:val="24"/>
          <w:szCs w:val="24"/>
          <w:lang w:val="en-US"/>
        </w:rPr>
        <w:t>In the final traditional-RAG variant, an LLM assesses candidate titles and abstracts against the distilled task and a listing of the available data files and extensions. It classifies each paper as applicable, irrelevant, or infeasible, for example when a method requires an unavailable input modality. The filter normally retains 5–15 papers. Its minimum-retention rule can restore high-ranked rejected papers, so filtering is a heuristic and does not guarantee feasibility. Decisions and reasons are cached and logged. Selected papers with existing methodology extractions reuse the cache; at most 20 missing extractions are generated per initialization by downloading and parsing the papers and extracting structured techniques. This avoids extracting the entire literature collection in advance.</w:t>
      </w:r>
    </w:p>
    <w:p>
      <w:pPr>
        <w:pStyle w:val="Normal"/>
        <w:widowControl/>
        <w:spacing w:after="160" w:line="278" w:lineRule="auto"/>
      </w:pPr>
      <w:r>
        <w:rPr>
          <w:rFonts w:ascii="Times New Roman" w:hAnsi="Times New Roman" w:cs="Times New Roman"/>
          <w:color w:val="000000"/>
          <w:sz w:val="24"/>
          <w:szCs w:val="24"/>
          <w:lang w:val="en-US"/>
        </w:rPr>
        <w:t>The resulting guidance contains positive-effect techniques with their conditions, evidence, and source-paper attribution. The final paper-filtering variant bypasses the earlier technique-level embedding reranker and includes complete technique blocks within the prompt budget. The earlier variant instead ranked individual positive techniques by similarity to the task query; these variants correspond to different experiment versions. In either case, the selected literature context remains fixed during a run. It can guide initial drafts and, in the repeated-injection configuration, subsequent improvements. This external paper context is separate from the host agent's internal memory of candidate implementations and observed outcomes.</w:t>
      </w:r>
    </w:p>
    <w:p>
      <w:pPr>
        <w:pStyle w:val="Heading2"/>
        <w:widowControl/>
        <w:keepNext/>
        <w:keepLines/>
        <w:spacing w:before="200" w:after="120" w:line="278" w:lineRule="auto"/>
        <w:outlineLvl w:val="1"/>
      </w:pPr>
      <w:r>
        <w:rPr>
          <w:rFonts w:ascii="Times New Roman" w:hAnsi="Times New Roman" w:cs="Times New Roman"/>
          <w:b/>
          <w:color w:val="000000"/>
          <w:sz w:val="24"/>
          <w:szCs w:val="24"/>
          <w:lang w:val="en-US"/>
        </w:rPr>
        <w:t>3 Analogical reasoning method</w:t>
      </w:r>
    </w:p>
    <w:p>
      <w:pPr>
        <w:pStyle w:val="Normal"/>
        <w:widowControl/>
        <w:spacing w:after="160" w:line="278" w:lineRule="auto"/>
      </w:pPr>
      <w:r>
        <w:rPr>
          <w:rFonts w:ascii="Times New Roman" w:hAnsi="Times New Roman" w:cs="Times New Roman"/>
          <w:color w:val="000000"/>
          <w:sz w:val="24"/>
          <w:szCs w:val="24"/>
          <w:lang w:val="en-US"/>
        </w:rPr>
        <w:t>The analogy module retrieves transferable mechanisms by expressing a target problem in terms of functional objects and relations. For an initial draft, the target is the task itself: the relationships among inputs, labels, metric, evaluation protocol, and resource constraints. For an improvement step, the target is a limitation of the selected, already executed candidate. The agent identifies up to three potential bottlenecks, such as a mismatch between the training objective and evaluation criterion, unexploited invariance, or an information-aggregation constraint. Each diagnosis distinguishes observed evidence from a hypothesis about why the current method is limited.</w:t>
      </w:r>
    </w:p>
    <w:p>
      <w:pPr>
        <w:pStyle w:val="Normal"/>
        <w:widowControl/>
        <w:spacing w:after="160" w:line="278" w:lineRule="auto"/>
      </w:pPr>
      <w:r>
        <w:rPr>
          <w:rFonts w:ascii="Times New Roman" w:hAnsi="Times New Roman" w:cs="Times New Roman"/>
          <w:color w:val="000000"/>
          <w:sz w:val="24"/>
          <w:szCs w:val="24"/>
          <w:lang w:val="en-US"/>
        </w:rPr>
        <w:t>For each target structure, the LLM formulates short queries using terminology from other research areas that may express the same relationship. The prompt asks for two to four queries per bottleneck, each containing roughly three to six technical terms, and encourages reformulation when search results are uninformative. BM25 then performs lexical lookup over the paper corpus. Documents concatenate the title twice, the one-sentence summary, and the abstract; repeating the title increases its lexical contribution. Queries and documents are lowercased, tokenized, stripped of stopwords and common paper boilerplate, and Porter-stemmed. Each search returns ten papers by default, exposing identifiers, titles, summaries, and scores. The agent separately requests abstracts for promising papers. Structural abstraction and transfer are performed by the LLM; the retrieval index itself does not compute a structural similarity measure.</w:t>
      </w:r>
    </w:p>
    <w:p>
      <w:pPr>
        <w:pStyle w:val="Normal"/>
        <w:widowControl/>
        <w:spacing w:after="160" w:line="278" w:lineRule="auto"/>
      </w:pPr>
      <w:r>
        <w:rPr>
          <w:rFonts w:ascii="Times New Roman" w:hAnsi="Times New Roman" w:cs="Times New Roman"/>
          <w:color w:val="000000"/>
          <w:sz w:val="24"/>
          <w:szCs w:val="24"/>
          <w:lang w:val="en-US"/>
        </w:rPr>
        <w:t>The evidence-aware context separates the proposed plan from the available implementation and execution evidence. In improvement mode, it includes the task, data preview, parent candidate's score and execution analysis, cleaned output, resource information, attempted child modifications, and recent completed candidates from the same branch. Read-only tools let the agent inspect a source index, read code by line range, and compare allowed candidate snapshots. Source snapshots are frozen for the retrieval episode, and references are tied to the code actually exposed to the model. Runtime facts and task-specific public-validation diagnostics are included when available; missing observations remain explicit unknowns. Evidence inspection and literature search may be interleaved as the diagnosis develops.</w:t>
      </w:r>
    </w:p>
    <w:p>
      <w:pPr>
        <w:pStyle w:val="Normal"/>
        <w:widowControl/>
        <w:spacing w:after="160" w:line="278" w:lineRule="auto"/>
      </w:pPr>
      <w:r>
        <w:rPr>
          <w:rFonts w:ascii="Times New Roman" w:hAnsi="Times New Roman" w:cs="Times New Roman"/>
          <w:color w:val="000000"/>
          <w:sz w:val="24"/>
          <w:szCs w:val="24"/>
          <w:lang w:val="en-US"/>
        </w:rPr>
        <w:t>When full-text reading is enabled, the agent can open papers returned by the current search and request selected passages from their methods, experiments, limitations, or appendices. Opening a paper exposes its structure; a separate read returns textual evidence. The reader records delivered passages, page and chunk identifiers, and source hashes, and caches parsed text for reuse. A retrieval episode permits opening up to three papers and making up to twelve passage reads, with a cumulative text budget of 40,000 characters. When full text is unavailable, recommendations may rely on an explicitly identified abstract, or the agent may abstain.</w:t>
      </w:r>
    </w:p>
    <w:p>
      <w:pPr>
        <w:pStyle w:val="Normal"/>
        <w:widowControl/>
        <w:spacing w:after="160" w:line="278" w:lineRule="auto"/>
      </w:pPr>
      <w:r>
        <w:rPr>
          <w:rFonts w:ascii="Times New Roman" w:hAnsi="Times New Roman" w:cs="Times New Roman"/>
          <w:color w:val="000000"/>
          <w:sz w:val="24"/>
          <w:szCs w:val="24"/>
          <w:lang w:val="en-US"/>
        </w:rPr>
        <w:t>The agent submits up to three mechanisms in a structured report. Each mechanism connects a diagnosed target structure to a source-paper mechanism, specifies the correspondence between their objects and relations, and proposes a concrete adaptation to the target pipeline. It also states assumptions, constraints, supporting evidence, a validation plan, and a rejection criterion. Reports separate observations, hypotheses, and unknowns.</w:t>
      </w:r>
    </w:p>
    <w:p>
      <w:pPr>
        <w:pStyle w:val="Normal"/>
        <w:widowControl/>
        <w:spacing w:after="160" w:line="278" w:lineRule="auto"/>
      </w:pPr>
      <w:r>
        <w:rPr>
          <w:rFonts w:ascii="Times New Roman" w:hAnsi="Times New Roman" w:cs="Times New Roman"/>
          <w:color w:val="000000"/>
          <w:sz w:val="24"/>
          <w:szCs w:val="24"/>
          <w:lang w:val="en-US"/>
        </w:rPr>
        <w:t>The reference MLEvolve implementation permits fourteen model turns and requests an initial report by turn twelve, reserving the remaining turns for correction. Paper identifiers must come from the current search; with full-text reading enabled, quoted evidence must match an abstract or passage actually returned in that episode. Code and runtime references are checked against exposed evidence. Invalid shared observations block delivery, whereas invalid individual mechanisms can be removed while preserving other complete mechanisms. Complete acceptance, partial acceptance, explicit abstention, and failure are recorded separately. These checks establish evidence provenance and report consistency, rather than the scientific validity or expected benefit of the proposed transfer.</w:t>
      </w:r>
    </w:p>
    <w:p>
      <w:pPr>
        <w:pStyle w:val="Heading2"/>
        <w:widowControl/>
        <w:keepNext/>
        <w:keepLines/>
        <w:spacing w:before="200" w:after="120" w:line="278" w:lineRule="auto"/>
        <w:outlineLvl w:val="1"/>
      </w:pPr>
      <w:r>
        <w:rPr>
          <w:rFonts w:ascii="Times New Roman" w:hAnsi="Times New Roman" w:cs="Times New Roman"/>
          <w:b/>
          <w:color w:val="000000"/>
          <w:sz w:val="24"/>
          <w:szCs w:val="24"/>
          <w:lang w:val="en-US"/>
        </w:rPr>
        <w:t>4 Integration into MLEvolve</w:t>
      </w:r>
    </w:p>
    <w:p>
      <w:pPr>
        <w:pStyle w:val="Normal"/>
        <w:widowControl/>
        <w:spacing w:after="160" w:line="278" w:lineRule="auto"/>
      </w:pPr>
      <w:r>
        <w:rPr>
          <w:rFonts w:ascii="Times New Roman" w:hAnsi="Times New Roman" w:cs="Times New Roman"/>
          <w:color w:val="000000"/>
          <w:sz w:val="24"/>
          <w:szCs w:val="24"/>
          <w:lang w:val="en-US"/>
        </w:rPr>
        <w:t>MLEvolve organizes candidate machine learning solutions through Monte Carlo Graph Search. Initial drafts seed solution branches, and subsequent steps select candidates for improvement, debugging, or other search operations. A candidate contains its plan, code, execution feedback, and validation metric. Literature augmentation enters the generation prompts without adding a new search-node type or replacing the host's node-selection and evaluation procedures. The generated candidate still passes through code review, execution, and validation before its outcome becomes available to later search steps.</w:t>
      </w:r>
    </w:p>
    <w:p>
      <w:pPr>
        <w:pStyle w:val="Normal"/>
        <w:widowControl/>
        <w:spacing w:after="160" w:line="278" w:lineRule="auto"/>
      </w:pPr>
      <w:r>
        <w:rPr>
          <w:rFonts w:ascii="Times New Roman" w:hAnsi="Times New Roman" w:cs="Times New Roman"/>
          <w:color w:val="000000"/>
          <w:sz w:val="24"/>
          <w:szCs w:val="24"/>
          <w:lang w:val="en-US"/>
        </w:rPr>
        <w:t>Traditional RAG supports draft-time injection (arm B) and draft-plus-improvement injection (arm C), with arm A providing the corresponding configuration without external paper guidance. In arm C, the same task-level context is reused at each ordinary improvement step. The improvement prompt asks for at most one justified, previously untried technique, which the planner must adapt to the candidate. Thus, repeated injection changes where the fixed knowledge is available without making retrieval responsive to the candidate's evolving state.</w:t>
      </w:r>
    </w:p>
    <w:p>
      <w:pPr>
        <w:pStyle w:val="Normal"/>
        <w:widowControl/>
        <w:spacing w:after="160" w:line="278" w:lineRule="auto"/>
      </w:pPr>
      <w:r>
        <w:rPr>
          <w:rFonts w:ascii="Times New Roman" w:hAnsi="Times New Roman" w:cs="Times New Roman"/>
          <w:color w:val="000000"/>
          <w:sz w:val="24"/>
          <w:szCs w:val="24"/>
          <w:lang w:val="en-US"/>
        </w:rPr>
        <w:t>Analogical retrieval supports improvement-only (arm D), first-draft-only (arm E), and combined first-draft-plus-improvement (arm F) configurations. Draft retrieval runs once before the first initial draft. Its report is placed in the generation instructions before solution planning, with a request to keep the initial design simple and adopt at most one suggested mechanism. Later initial drafts do not directly receive that report. Improvement retrieval is invoked whenever the ordinary improvement agent is entered and uses the selected parent candidate's current state to produce fresh guidance. Debugging, evolution, and fusion do not independently invoke this retrieval hook.</w:t>
      </w:r>
    </w:p>
    <w:p>
      <w:pPr>
        <w:pStyle w:val="Normal"/>
        <w:widowControl/>
        <w:spacing w:after="160" w:line="278" w:lineRule="auto"/>
      </w:pPr>
      <w:r>
        <w:rPr>
          <w:rFonts w:ascii="Times New Roman" w:hAnsi="Times New Roman" w:cs="Times New Roman"/>
          <w:color w:val="000000"/>
          <w:sz w:val="24"/>
          <w:szCs w:val="24"/>
          <w:lang w:val="en-US"/>
        </w:rPr>
        <w:t>For evidence-aware improvement reports, the planner declares one selected mechanism identifier and its concrete adaptation, or rejects all mechanisms with a reason. A missing or malformed decision is recorded as unknown. In the diff-generation path, the selected mechanism is passed to the coder separately from the compressed plan, preserving its evidence and constraints during code generation and retries. Full rewrites receive the report in the shared instructions. The first-draft path injects the report and requests a rationale, but does not implement the same structured mechanism-identifier handoff. Each augmented child retains its report; improvement records additionally preserve adoption declarations, source hashes, code changes, and execution provenance. These records support auditing report delivery, declared selection, and the resulting code changes without treating a declaration or score difference as proof of faithful implementation or causal benefit. If the optional analogy module fails, MLEvolve records the failure and continues its existing search without injecting a report.</w:t>
      </w:r>
    </w:p>
    <w:p>
      <w:pPr>
        <w:pStyle w:val="Heading2"/>
        <w:widowControl/>
        <w:keepNext/>
        <w:keepLines/>
        <w:spacing w:before="200" w:after="120" w:line="278" w:lineRule="auto"/>
        <w:outlineLvl w:val="1"/>
      </w:pPr>
      <w:r>
        <w:rPr>
          <w:rFonts w:ascii="Times New Roman" w:hAnsi="Times New Roman" w:cs="Times New Roman"/>
          <w:b/>
          <w:color w:val="000000"/>
          <w:sz w:val="24"/>
          <w:szCs w:val="24"/>
          <w:lang w:val="en-US"/>
        </w:rPr>
        <w:t>5 Integration into autoresearch</w:t>
      </w:r>
    </w:p>
    <w:p>
      <w:pPr>
        <w:pStyle w:val="Normal"/>
        <w:widowControl/>
        <w:spacing w:after="160" w:line="278" w:lineRule="auto"/>
      </w:pPr>
      <w:r>
        <w:rPr>
          <w:rFonts w:ascii="Times New Roman" w:hAnsi="Times New Roman" w:cs="Times New Roman"/>
          <w:color w:val="000000"/>
          <w:sz w:val="24"/>
          <w:szCs w:val="24"/>
          <w:lang w:val="en-US"/>
        </w:rPr>
        <w:t>We also expose the analogy module through a standalone command-line interface for autoresearch. The module retains literature search, source inspection, structural mapping, and report generation, while the outer agent controls the sequential cycle of proposing a change, editing the training program, running an experiment, and retaining or rejecting the result. The retrieval process does not edit or execute candidate training code. The analogy protocol invokes it before the first task-specific implementation and before each subsequent new experimental idea. Minor debugging corrections may reuse the current report.</w:t>
      </w:r>
    </w:p>
    <w:p>
      <w:pPr>
        <w:pStyle w:val="Normal"/>
        <w:widowControl/>
        <w:spacing w:after="160" w:line="278" w:lineRule="auto"/>
      </w:pPr>
      <w:r>
        <w:rPr>
          <w:rFonts w:ascii="Times New Roman" w:hAnsi="Times New Roman" w:cs="Times New Roman"/>
          <w:color w:val="000000"/>
          <w:sz w:val="24"/>
          <w:szCs w:val="24"/>
          <w:lang w:val="en-US"/>
        </w:rPr>
        <w:t>Draft retrieval receives the task description, prepared-data metadata, evaluation definition, and resource declarations, without parent results or prior experiment history. Improvement retrieval uses the current best eligible completed candidate. Before training, the host saves an immutable source snapshot; after completion, it binds the candidate's configuration, metrics, and execution output to the unchanged source. The analogy module consumes this completed record and a frozen snapshot of the same run's history. Completed historical sources become available through read-only tools; incomplete trials contribute only available identities and design declarations. An unfinished, crashed, or unadopted suggestion is not treated as evidence that its underlying mechanism is ineffective.</w:t>
      </w:r>
    </w:p>
    <w:p>
      <w:pPr>
        <w:pStyle w:val="Normal"/>
        <w:widowControl/>
        <w:spacing w:after="160" w:line="278" w:lineRule="auto"/>
      </w:pPr>
      <w:r>
        <w:rPr>
          <w:rFonts w:ascii="Times New Roman" w:hAnsi="Times New Roman" w:cs="Times New Roman"/>
          <w:color w:val="000000"/>
          <w:sz w:val="24"/>
          <w:szCs w:val="24"/>
          <w:lang w:val="en-US"/>
        </w:rPr>
        <w:t>The outer agent reads the report, adopts at most one mechanism, or records why it rejects the suggestions. Before training, it records the report reference, selected mechanism or null decision, actual parent candidate, and intended change. Explicit abstention or rejection permits an independently chosen idea. Required retrieval failures are handled separately: the protocol preserves the failed attempt and retries with the same settings in a new output directory; persistent failure stops the analogy arm. This differs from the optional retrieval hook in MLEvolve and prevents an unsuccessful required call from being treated as a successful no-suggestion outcome.</w:t>
      </w:r>
    </w:p>
    <w:p>
      <w:pPr>
        <w:pStyle w:val="Normal"/>
        <w:widowControl/>
        <w:spacing w:after="160" w:line="278" w:lineRule="auto"/>
      </w:pPr>
      <w:r>
        <w:rPr>
          <w:rFonts w:ascii="Times New Roman" w:hAnsi="Times New Roman" w:cs="Times New Roman"/>
          <w:color w:val="000000"/>
          <w:sz w:val="24"/>
          <w:szCs w:val="24"/>
          <w:lang w:val="en-US"/>
        </w:rPr>
        <w:t>A protocol record fixes the retrieval implementation, configuration, model, task, prepared-data identity, and corpus for the run. Each call saves its context, report, literature and code evidence, tool trace, model usage, and delivery status; improvement calls additionally save their history snapshot. When retrieval is prefetched while training is still in progress, the saved history is checked before the next edit. A changed parent requires a fresh report; other new results require review for their relevance to the proposed mechanism.</w:t>
      </w:r>
    </w:p>
    <w:p>
      <w:pPr>
        <w:pStyle w:val="Normal"/>
        <w:widowControl/>
        <w:spacing w:after="160" w:line="278" w:lineRule="auto"/>
      </w:pPr>
      <w:r>
        <w:rPr>
          <w:rFonts w:ascii="Times New Roman" w:hAnsi="Times New Roman" w:cs="Times New Roman"/>
          <w:color w:val="000000"/>
          <w:sz w:val="24"/>
          <w:szCs w:val="24"/>
          <w:lang w:val="en-US"/>
        </w:rPr>
        <w:t>The current autoresearch variant enables full-text reading and retains the bounded tool-use loop, with local character truncation of the initial context and final report disabled by default; model context limits still apply. Unlike the stricter MLEvolve reading path, a nonmatching quotation from an abstract or passage actually read in that call is recorded as a warning rather than automatically removing the mechanism. Accordingly, an accepted report does not imply that every quotation has been verified. The baseline follows the same outer experimental and artifact-recording procedure but excludes the analogy module, paper corpus, caches, and reports.</w:t>
      </w:r>
    </w:p>
    <w:p w14:paraId="7366A319" w14:textId="017BB706" w:rsidR="00586118" w:rsidRPr="00586118" w:rsidRDefault="00586118" w:rsidP="00F03B00">
      <w:pPr>
        <w:rPr>
          <w:rFonts w:ascii="Times New Roman" w:hAnsi="Times New Roman" w:cs="Times New Roman"/>
        </w:rPr>
      </w:pPr>
      <w:r w:rsidRPr="00586118">
        <w:rPr>
          <w:rFonts w:ascii="Times New Roman" w:hAnsi="Times New Roman" w:cs="Times New Roman"/>
        </w:rPr>
        <w:t>Experimen</w:t>
      </w:r>
      <w:proofErr w:type="spellEnd"/>
      <w:r w:rsidRPr="00586118">
        <w:rPr>
          <w:rFonts w:ascii="Times New Roman" w:hAnsi="Times New Roman" w:cs="Times New Roman"/>
        </w:rPr>
        <w:t>t</w:t>
      </w:r>
      <w:r w:rsidR="005E7139">
        <w:rPr>
          <w:rFonts w:ascii="Times New Roman" w:hAnsi="Times New Roman" w:cs="Times New Roman" w:hint="eastAsia"/>
        </w:rPr>
        <w:t xml:space="preserve"> setup</w:t>
      </w:r>
    </w:p>
    <w:p w14:paraId="78A9B7E7" w14:textId="4F27BEBE" w:rsidR="008E0196" w:rsidRDefault="008E0196" w:rsidP="008E0196">
      <w:pPr>
        <w:pStyle w:val="ListParagraph"/>
        <w:numPr>
          <w:ilvl w:val="0"/>
          <w:numId w:val="3"/>
        </w:numPr>
        <w:rPr>
          <w:rFonts w:ascii="Times New Roman" w:hAnsi="Times New Roman" w:cs="Times New Roman"/>
        </w:rPr>
      </w:pPr>
      <w:r>
        <w:rPr>
          <w:rFonts w:ascii="Times New Roman" w:hAnsi="Times New Roman" w:cs="Times New Roman"/>
        </w:rPr>
        <w:t>Overview</w:t>
      </w:r>
    </w:p>
    <w:p>
      <w:pPr>
        <w:pStyle w:val="Normal"/>
        <w:widowControl/>
        <w:spacing w:after="160" w:line="278" w:lineRule="auto"/>
      </w:pPr>
      <w:r>
        <w:rPr>
          <w:rFonts w:ascii="Times New Roman" w:hAnsi="Times New Roman" w:cs="Times New Roman"/>
          <w:color w:val="000000"/>
          <w:sz w:val="24"/>
          <w:szCs w:val="24"/>
          <w:lang w:val="en-US"/>
        </w:rPr>
        <w:t>We evaluate research-paper augmentation in MLEvolve and autoresearch, focusing on predictive performance and the diversity of generated solutions. Each MLEvolve run uses gpt-5.6-sol with one GPU, eight CPU cores, and 48 GiB of memory. The search starts from three initial drafts and is limited to 12 hours and a maximum of 500 steps.</w:t>
      </w:r>
    </w:p>
    <w:p>
      <w:pPr>
        <w:pStyle w:val="Normal"/>
        <w:widowControl/>
        <w:spacing w:after="160" w:line="278" w:lineRule="auto"/>
      </w:pPr>
      <w:r>
        <w:rPr>
          <w:rFonts w:ascii="Times New Roman" w:hAnsi="Times New Roman" w:cs="Times New Roman"/>
          <w:color w:val="000000"/>
          <w:sz w:val="24"/>
          <w:szCs w:val="24"/>
          <w:lang w:val="en-US"/>
        </w:rPr>
        <w:t>Autoresearch runs use one GPU, eight CPU cores, and 32 GiB of memory, with a six-hour job limit that includes setup and agent execution. The host agent uses opus-5.5, while the analogy module uses gpt-5.6-sol to generate methodological suggestions.</w:t>
      </w:r>
    </w:p>
    <w:p w14:paraId="5A8F0B30" w14:textId="73F2FCF0" w:rsidR="008E0196" w:rsidRDefault="008E0196" w:rsidP="008E0196">
      <w:pPr>
        <w:pStyle w:val="ListParagraph"/>
        <w:numPr>
          <w:ilvl w:val="0"/>
          <w:numId w:val="3"/>
        </w:numPr>
        <w:rPr>
          <w:rFonts w:ascii="Times New Roman" w:hAnsi="Times New Roman" w:cs="Times New Roman"/>
        </w:rPr>
        <w:keepNext/>
      </w:pPr>
      <w:r>
        <w:rPr>
          <w:rFonts w:ascii="Times New Roman" w:hAnsi="Times New Roman" w:cs="Times New Roman"/>
        </w:rPr>
        <w:t>Task</w:t>
      </w:r>
    </w:p>
    <w:p w:rsidR="008E0196" w:rsidRDefault="008E0196" w:rsidP="008E0196">
      <w:pPr>
        <w:pStyle w:val="ListParagraph"/>
        <w:numPr>
          <w:ilvl w:val="1"/>
          <w:numId w:val="3"/>
        </w:numPr>
        <w:rPr>
          <w:rFonts w:ascii="Times New Roman" w:hAnsi="Times New Roman" w:cs="Times New Roman"/>
        </w:rPr>
        <w:keepNext/>
        <w:keepLines/>
        <w:spacing w:before="120" w:after="80"/>
      </w:pPr>
      <w:hyperlink r:id="rIdTaskSource1">
        <w:r>
          <w:rPr>
            <w:rFonts w:ascii="Times New Roman" w:hAnsi="Times New Roman" w:cs="Times New Roman"/>
            <w:b/>
            <w:color w:val="000000"/>
            <w:sz w:val="24"/>
            <w:szCs w:val="24"/>
          </w:rPr>
          <w:t>Learning Agency Lab - Automated Essay Scoring 2.0</w:t>
        </w:r>
      </w:hyperlink>
    </w:p>
    <w:p>
      <w:pPr>
        <w:pStyle w:val="Normal"/>
        <w:widowControl/>
        <w:spacing w:after="160" w:line="278" w:lineRule="auto"/>
        <w:ind w:left="1440"/>
        <w:keepLines/>
      </w:pPr>
      <w:r>
        <w:rPr>
          <w:rFonts w:ascii="Times New Roman" w:hAnsi="Times New Roman" w:cs="Times New Roman"/>
          <w:color w:val="000000"/>
          <w:sz w:val="24"/>
          <w:szCs w:val="24"/>
          <w:lang w:val="en-US"/>
        </w:rPr>
        <w:t>This task predicts a holistic writing score from a student-written argumentative essay. Scores range from 1 to 6, making the target ordinal. The input is the full essay text, and predictions are evaluated using quadratic weighted kappa, which measures agreement with the reference scores while assigning larger penalties to larger disagreements.</w:t>
      </w:r>
    </w:p>
    <w:p w:rsidR="008E0196" w:rsidRDefault="008E0196" w:rsidP="008E0196">
      <w:pPr>
        <w:pStyle w:val="ListParagraph"/>
        <w:keepNext/>
        <w:numPr>
          <w:ilvl w:val="1"/>
          <w:numId w:val="3"/>
        </w:numPr>
        <w:rPr>
          <w:rFonts w:ascii="Times New Roman" w:hAnsi="Times New Roman" w:cs="Times New Roman"/>
        </w:rPr>
        <w:keepLines/>
        <w:spacing w:before="120" w:after="80"/>
      </w:pPr>
      <w:hyperlink r:id="rIdTaskSource2">
        <w:r>
          <w:rPr>
            <w:rFonts w:ascii="Times New Roman" w:hAnsi="Times New Roman" w:cs="Times New Roman"/>
            <w:b/>
            <w:color w:val="000000"/>
            <w:sz w:val="24"/>
            <w:szCs w:val="24"/>
          </w:rPr>
          <w:t>Jigsaw Toxic Comment Classification Challenge</w:t>
        </w:r>
      </w:hyperlink>
    </w:p>
    <w:p>
      <w:pPr>
        <w:pStyle w:val="Normal"/>
        <w:widowControl/>
        <w:spacing w:after="160" w:line="278" w:lineRule="auto"/>
        <w:ind w:left="1440"/>
        <w:keepLines/>
      </w:pPr>
      <w:r>
        <w:rPr>
          <w:rFonts w:ascii="Times New Roman" w:hAnsi="Times New Roman" w:cs="Times New Roman"/>
          <w:color w:val="000000"/>
          <w:sz w:val="24"/>
          <w:szCs w:val="24"/>
          <w:lang w:val="en-US"/>
        </w:rPr>
        <w:t>This multilabel classification task uses human-annotated comments from Wikipedia talk pages. For each comment, the model predicts separate probabilities for six categories: toxic, severe toxic, obscene, threat, insult, and identity hate. A comment may belong to multiple categories. Performance is measured by the arithmetic mean of the six category-specific ROC-AUC scores.</w:t>
      </w:r>
    </w:p>
    <w:p w:rsidR="008E0196" w:rsidRDefault="008E0196" w:rsidP="008E0196">
      <w:pPr>
        <w:pStyle w:val="ListParagraph"/>
        <w:numPr>
          <w:ilvl w:val="1"/>
          <w:numId w:val="3"/>
        </w:numPr>
        <w:rPr>
          <w:rFonts w:ascii="Times New Roman" w:hAnsi="Times New Roman" w:cs="Times New Roman"/>
        </w:rPr>
        <w:keepNext/>
        <w:keepLines/>
        <w:spacing w:before="120" w:after="80"/>
      </w:pPr>
      <w:hyperlink r:id="rIdTaskSource3">
        <w:r>
          <w:rPr>
            <w:rFonts w:ascii="Times New Roman" w:hAnsi="Times New Roman" w:cs="Times New Roman"/>
            <w:b/>
            <w:color w:val="000000"/>
            <w:sz w:val="24"/>
            <w:szCs w:val="24"/>
          </w:rPr>
          <w:t>Jigsaw Unintended Bias in Toxicity Classification</w:t>
        </w:r>
      </w:hyperlink>
    </w:p>
    <w:p>
      <w:pPr>
        <w:pStyle w:val="Normal"/>
        <w:widowControl/>
        <w:spacing w:after="160" w:line="278" w:lineRule="auto"/>
        <w:ind w:left="1440"/>
        <w:keepLines/>
      </w:pPr>
      <w:r>
        <w:rPr>
          <w:rFonts w:ascii="Times New Roman" w:hAnsi="Times New Roman" w:cs="Times New Roman"/>
          <w:color w:val="000000"/>
          <w:sz w:val="24"/>
          <w:szCs w:val="24"/>
          <w:lang w:val="en-US"/>
        </w:rPr>
        <w:t>This task predicts toxicity scores for English online comments from Civil Comments, with an emphasis on reducing unintended bias associated with identity mentions. Identity annotations support the assessment of subgroup performance. Evaluation combines overall ROC-AUC with identity-specific AUC measures that assess performance within subgroups and across subgroup and background examples.</w:t>
      </w:r>
    </w:p>
    <w:p w:rsidR="008E0196" w:rsidRDefault="008E0196" w:rsidP="008E0196">
      <w:pPr>
        <w:pStyle w:val="ListParagraph"/>
        <w:numPr>
          <w:ilvl w:val="1"/>
          <w:numId w:val="3"/>
        </w:numPr>
        <w:rPr>
          <w:rFonts w:ascii="Times New Roman" w:hAnsi="Times New Roman" w:cs="Times New Roman"/>
        </w:rPr>
        <w:keepNext/>
        <w:keepLines/>
        <w:spacing w:before="120" w:after="80"/>
      </w:pPr>
      <w:hyperlink r:id="rIdTaskSource4">
        <w:r>
          <w:rPr>
            <w:rFonts w:ascii="Times New Roman" w:hAnsi="Times New Roman" w:cs="Times New Roman"/>
            <w:b/>
            <w:color w:val="000000"/>
            <w:sz w:val="24"/>
            <w:szCs w:val="24"/>
          </w:rPr>
          <w:t>LMSYS - Chatbot Arena Human Preference Predictions</w:t>
        </w:r>
      </w:hyperlink>
    </w:p>
    <w:p>
      <w:pPr>
        <w:pStyle w:val="Normal"/>
        <w:widowControl/>
        <w:spacing w:after="160" w:line="278" w:lineRule="auto"/>
        <w:ind w:left="1440"/>
        <w:keepLines/>
      </w:pPr>
      <w:r>
        <w:rPr>
          <w:rFonts w:ascii="Times New Roman" w:hAnsi="Times New Roman" w:cs="Times New Roman"/>
          <w:color w:val="000000"/>
          <w:sz w:val="24"/>
          <w:szCs w:val="24"/>
          <w:lang w:val="en-US"/>
        </w:rPr>
        <w:t>This task predicts human preferences between responses from two large language models. Given a user prompt or sequence of prompts and both models' responses, the model estimates probabilities for three outcomes: model A wins, model B wins, or a tie. The examples come from real Chatbot Arena interactions, and predictions are evaluated using multiclass log loss.</w:t>
      </w:r>
    </w:p>
    <w:p w14:paraId="24E58C94" w14:textId="20EF11A1" w:rsidR="00933251" w:rsidRDefault="00933251" w:rsidP="00933251">
      <w:pPr>
        <w:pStyle w:val="ListParagraph"/>
        <w:keepNext/>
        <w:numPr>
          <w:ilvl w:val="0"/>
          <w:numId w:val="3"/>
        </w:numPr>
        <w:rPr>
          <w:rFonts w:ascii="Times New Roman" w:hAnsi="Times New Roman" w:cs="Times New Roman"/>
        </w:rPr>
      </w:pPr>
      <w:r>
        <w:rPr>
          <w:rFonts w:ascii="Times New Roman" w:hAnsi="Times New Roman" w:cs="Times New Roman"/>
        </w:rPr>
        <w:t>Baselines</w:t>
      </w:r>
    </w:p>
    <w:p>
      <w:pPr>
        <w:pStyle w:val="Normal"/>
        <w:widowControl/>
        <w:spacing w:after="160" w:line="278" w:lineRule="auto"/>
      </w:pPr>
      <w:r>
        <w:rPr>
          <w:rFonts w:ascii="Times New Roman" w:hAnsi="Times New Roman" w:cs="Times New Roman"/>
          <w:color w:val="000000"/>
          <w:sz w:val="24"/>
          <w:szCs w:val="24"/>
          <w:lang w:val="en-US"/>
        </w:rPr>
        <w:t>For MLEvolve, arm A serves as the baseline without external paper guidance. It retains the standard search procedure, internal experiment memory, and predefined pretrained-model recommendations. The traditional RAG variants provide an additional reference using fixed task-level literature guidance: draft-only injection (B) and draft-plus-improvement injection (C).</w:t>
      </w:r>
    </w:p>
    <w:p>
      <w:pPr>
        <w:pStyle w:val="Normal"/>
        <w:widowControl/>
        <w:spacing w:after="160" w:line="278" w:lineRule="auto"/>
      </w:pPr>
      <w:r>
        <w:rPr>
          <w:rFonts w:ascii="Times New Roman" w:hAnsi="Times New Roman" w:cs="Times New Roman"/>
          <w:color w:val="000000"/>
          <w:sz w:val="24"/>
          <w:szCs w:val="24"/>
          <w:lang w:val="en-US"/>
        </w:rPr>
        <w:t>For autoresearch, the baseline retains the sequential cycle of proposing, implementing, training, and evaluating candidates using the task description, current code, and previous experimental results. It has no access to the analogy module, paper knowledge base, full-text cache, or analogy reports. The baseline and analogy variants share the prepared data split, fixed evaluator, and procedure for saving source snapshots and experimental results.</w:t>
      </w:r>
    </w:p>
    <w:p w14:paraId="501A1609" w14:textId="2336EDAE" w:rsidR="008E0196" w:rsidRDefault="008E0196" w:rsidP="008E0196">
      <w:pPr>
        <w:pStyle w:val="ListParagraph"/>
        <w:keepNext/>
        <w:numPr>
          <w:ilvl w:val="0"/>
          <w:numId w:val="3"/>
        </w:numPr>
        <w:rPr>
          <w:rFonts w:ascii="Times New Roman" w:hAnsi="Times New Roman" w:cs="Times New Roman"/>
          <w:b/>
        </w:rPr>
      </w:pPr>
      <w:r>
        <w:rPr>
          <w:rFonts w:ascii="Times New Roman" w:hAnsi="Times New Roman" w:cs="Times New Roman"/>
          <w:b/>
        </w:rPr>
        <w:t xml:space="preserve">Evaluation metrics</w:t>
      </w:r>
      <w:r w:rsidR="00E40FDD">
        <w:rPr>
          <w:rFonts w:ascii="Times New Roman" w:hAnsi="Times New Roman" w:cs="Times New Roman"/>
          <w:b/>
        </w:rPr>
        <w:t/>
      </w:r>
    </w:p>
    <w:p>
      <w:pPr>
        <w:pStyle w:val="Normal"/>
        <w:widowControl/>
        <w:spacing w:after="160" w:line="278" w:lineRule="auto"/>
        <w:ind w:left="720"/>
      </w:pPr>
      <w:r>
        <w:rPr>
          <w:rFonts w:ascii="Times New Roman" w:hAnsi="Times New Roman" w:cs="Times New Roman"/>
          <w:color w:val="000000"/>
          <w:sz w:val="24"/>
          <w:szCs w:val="24"/>
          <w:lang w:val="en-US"/>
        </w:rPr>
        <w:t>We evaluate predictive performance using each task’s competition metric and measure solution diversity separately with the Vendi score. MLEvolve results use submissions graded against MLE-bench private-test answers; autoresearch results use its fixed validation split. These evaluation sources are reported separately.</w:t>
      </w:r>
    </w:p>
    <w:p w14:paraId="73CD96CC" w14:textId="3DDC7F55" w:rsidR="00C65433" w:rsidRDefault="00C65433" w:rsidP="00C65433">
      <w:pPr>
        <w:pStyle w:val="ListParagraph"/>
        <w:keepNext/>
        <w:numPr>
          <w:ilvl w:val="1"/>
          <w:numId w:val="3"/>
        </w:numPr>
        <w:rPr>
          <w:rFonts w:ascii="Times New Roman" w:hAnsi="Times New Roman" w:cs="Times New Roman"/>
          <w:b/>
        </w:rPr>
      </w:pPr>
      <w:r w:rsidRPr="00C65433">
        <w:rPr>
          <w:rFonts w:ascii="Times New Roman" w:hAnsi="Times New Roman" w:cs="Times New Roman"/>
          <w:b/>
        </w:rPr>
        <w:t>Quadratic Weighted Kappa</w:t>
      </w:r>
    </w:p>
    <w:p>
      <w:pPr>
        <w:pStyle w:val="Normal"/>
        <w:widowControl/>
        <w:spacing w:after="160" w:line="278" w:lineRule="auto"/>
        <w:ind w:left="1440"/>
      </w:pPr>
      <w:r>
        <w:rPr>
          <w:rFonts w:ascii="Times New Roman" w:hAnsi="Times New Roman" w:cs="Times New Roman"/>
          <w:color w:val="000000"/>
          <w:sz w:val="24"/>
          <w:szCs w:val="24"/>
          <w:lang w:val="en-US"/>
        </w:rPr>
        <w:t>For Automated Essay Scoring 2.0, quadratic weighted kappa (QWK) measures agreement between predicted and reference scores on the ordinal 1–6 scale, correcting for agreement expected by chance:</w:t>
      </w:r>
    </w:p>
    <w:p>
      <w:pPr>
        <w:pStyle w:val="Normal"/>
        <w:keepNext/>
        <w:widowControl/>
        <w:spacing w:after="160" w:line="278" w:lineRule="auto"/>
        <w:ind w:left="1440"/>
      </w:pPr>
      <m:oMathPara>
        <m:oMathParaPr>
          <m:jc m:val="center"/>
        </m:oMathParaPr>
        <m:oMath>
          <m:r>
            <m:rPr>
              <m:sty m:val="p"/>
            </m:rPr>
            <w:rPr>
              <w:rFonts w:ascii="Cambria Math" w:hAnsi="Cambria Math"/>
              <w:sz w:val="24"/>
            </w:rPr>
            <m:t>κ = 1 − </m:t>
          </m:r>
          <m:f>
            <m:num>
              <m:nary>
                <m:naryPr>
                  <m:chr m:val="∑"/>
                  <m:limLoc m:val="undOvr"/>
                  <m:supHide m:val="1"/>
                </m:naryPr>
                <m:sub>
                  <m:r>
                    <m:rPr>
                      <m:sty m:val="p"/>
                    </m:rPr>
                    <w:rPr>
                      <w:rFonts w:ascii="Cambria Math" w:hAnsi="Cambria Math"/>
                      <w:sz w:val="24"/>
                    </w:rPr>
                    <m:t>i,j</m:t>
                  </m:r>
                </m:sub>
                <m:sup>
                  <m:r>
                    <m:rPr>
                      <m:sty m:val="p"/>
                    </m:rPr>
                    <w:rPr>
                      <w:rFonts w:ascii="Cambria Math" w:hAnsi="Cambria Math"/>
                      <w:sz w:val="24"/>
                    </w:rPr>
                    <m:t/>
                  </m:r>
                </m:sup>
                <m:e>
                  <m:sSub>
                    <m:e>
                      <m:r>
                        <m:rPr>
                          <m:sty m:val="p"/>
                        </m:rPr>
                        <w:rPr>
                          <w:rFonts w:ascii="Cambria Math" w:hAnsi="Cambria Math"/>
                          <w:sz w:val="24"/>
                        </w:rPr>
                        <m:t>w</m:t>
                      </m:r>
                    </m:e>
                    <m:sub>
                      <m:r>
                        <m:rPr>
                          <m:sty m:val="p"/>
                        </m:rPr>
                        <w:rPr>
                          <w:rFonts w:ascii="Cambria Math" w:hAnsi="Cambria Math"/>
                          <w:sz w:val="24"/>
                        </w:rPr>
                        <m:t>ij</m:t>
                      </m:r>
                    </m:sub>
                  </m:sSub>
                  <m:sSub>
                    <m:e>
                      <m:r>
                        <m:rPr>
                          <m:sty m:val="p"/>
                        </m:rPr>
                        <w:rPr>
                          <w:rFonts w:ascii="Cambria Math" w:hAnsi="Cambria Math"/>
                          <w:sz w:val="24"/>
                        </w:rPr>
                        <m:t>O</m:t>
                      </m:r>
                    </m:e>
                    <m:sub>
                      <m:r>
                        <m:rPr>
                          <m:sty m:val="p"/>
                        </m:rPr>
                        <w:rPr>
                          <w:rFonts w:ascii="Cambria Math" w:hAnsi="Cambria Math"/>
                          <w:sz w:val="24"/>
                        </w:rPr>
                        <m:t>ij</m:t>
                      </m:r>
                    </m:sub>
                  </m:sSub>
                </m:e>
              </m:nary>
            </m:num>
            <m:den>
              <m:nary>
                <m:naryPr>
                  <m:chr m:val="∑"/>
                  <m:limLoc m:val="undOvr"/>
                  <m:supHide m:val="1"/>
                </m:naryPr>
                <m:sub>
                  <m:r>
                    <m:rPr>
                      <m:sty m:val="p"/>
                    </m:rPr>
                    <w:rPr>
                      <w:rFonts w:ascii="Cambria Math" w:hAnsi="Cambria Math"/>
                      <w:sz w:val="24"/>
                    </w:rPr>
                    <m:t>i,j</m:t>
                  </m:r>
                </m:sub>
                <m:sup>
                  <m:r>
                    <m:rPr>
                      <m:sty m:val="p"/>
                    </m:rPr>
                    <w:rPr>
                      <w:rFonts w:ascii="Cambria Math" w:hAnsi="Cambria Math"/>
                      <w:sz w:val="24"/>
                    </w:rPr>
                    <m:t/>
                  </m:r>
                </m:sup>
                <m:e>
                  <m:sSub>
                    <m:e>
                      <m:r>
                        <m:rPr>
                          <m:sty m:val="p"/>
                        </m:rPr>
                        <w:rPr>
                          <w:rFonts w:ascii="Cambria Math" w:hAnsi="Cambria Math"/>
                          <w:sz w:val="24"/>
                        </w:rPr>
                        <m:t>w</m:t>
                      </m:r>
                    </m:e>
                    <m:sub>
                      <m:r>
                        <m:rPr>
                          <m:sty m:val="p"/>
                        </m:rPr>
                        <w:rPr>
                          <w:rFonts w:ascii="Cambria Math" w:hAnsi="Cambria Math"/>
                          <w:sz w:val="24"/>
                        </w:rPr>
                        <m:t>ij</m:t>
                      </m:r>
                    </m:sub>
                  </m:sSub>
                  <m:sSub>
                    <m:e>
                      <m:r>
                        <m:rPr>
                          <m:sty m:val="p"/>
                        </m:rPr>
                        <w:rPr>
                          <w:rFonts w:ascii="Cambria Math" w:hAnsi="Cambria Math"/>
                          <w:sz w:val="24"/>
                        </w:rPr>
                        <m:t>E</m:t>
                      </m:r>
                    </m:e>
                    <m:sub>
                      <m:r>
                        <m:rPr>
                          <m:sty m:val="p"/>
                        </m:rPr>
                        <w:rPr>
                          <w:rFonts w:ascii="Cambria Math" w:hAnsi="Cambria Math"/>
                          <w:sz w:val="24"/>
                        </w:rPr>
                        <m:t>ij</m:t>
                      </m:r>
                    </m:sub>
                  </m:sSub>
                </m:e>
              </m:nary>
            </m:den>
          </m:f>
          <m:r>
            <m:rPr>
              <m:sty m:val="p"/>
            </m:rPr>
            <w:rPr>
              <w:rFonts w:ascii="Cambria Math" w:hAnsi="Cambria Math"/>
              <w:sz w:val="24"/>
            </w:rPr>
            <m:t> ,   </m:t>
          </m:r>
          <m:sSub>
            <m:e>
              <m:r>
                <m:rPr>
                  <m:sty m:val="p"/>
                </m:rPr>
                <w:rPr>
                  <w:rFonts w:ascii="Cambria Math" w:hAnsi="Cambria Math"/>
                  <w:sz w:val="24"/>
                </w:rPr>
                <m:t>w</m:t>
              </m:r>
            </m:e>
            <m:sub>
              <m:r>
                <m:rPr>
                  <m:sty m:val="p"/>
                </m:rPr>
                <w:rPr>
                  <w:rFonts w:ascii="Cambria Math" w:hAnsi="Cambria Math"/>
                  <w:sz w:val="24"/>
                </w:rPr>
                <m:t>ij</m:t>
              </m:r>
            </m:sub>
          </m:sSub>
          <m:r>
            <m:rPr>
              <m:sty m:val="p"/>
            </m:rPr>
            <w:rPr>
              <w:rFonts w:ascii="Cambria Math" w:hAnsi="Cambria Math"/>
              <w:sz w:val="24"/>
            </w:rPr>
            <m:t> = </m:t>
          </m:r>
          <m:sSup>
            <m:e>
              <m:r>
                <m:rPr>
                  <m:sty m:val="p"/>
                </m:rPr>
                <w:rPr>
                  <w:rFonts w:ascii="Cambria Math" w:hAnsi="Cambria Math"/>
                  <w:sz w:val="24"/>
                </w:rPr>
                <m:t>(i − j)</m:t>
              </m:r>
            </m:e>
            <m:sup>
              <m:r>
                <m:rPr>
                  <m:sty m:val="p"/>
                </m:rPr>
                <w:rPr>
                  <w:rFonts w:ascii="Cambria Math" w:hAnsi="Cambria Math"/>
                  <w:sz w:val="24"/>
                </w:rPr>
                <m:t>2</m:t>
              </m:r>
            </m:sup>
          </m:sSup>
        </m:oMath>
      </m:oMathPara>
    </w:p>
    <w:p>
      <w:pPr>
        <w:pStyle w:val="Normal"/>
        <w:widowControl/>
        <w:spacing w:after="160" w:line="278" w:lineRule="auto"/>
        <w:ind w:left="1440"/>
      </w:pPr>
      <w:r>
        <w:rPr>
          <w:rFonts w:ascii="Times New Roman" w:hAnsi="Times New Roman" w:cs="Times New Roman"/>
          <w:color w:val="000000"/>
          <w:sz w:val="24"/>
          <w:szCs w:val="24"/>
          <w:lang w:val="en-US"/>
        </w:rPr>
        <w:t>Here, O is the observed count matrix and E is the expected count matrix under independence, using the same marginal score distributions. Quadratic weights penalize larger score differences more heavily. Higher QWK is better: 1 indicates perfect agreement, 0 indicates chance-level agreement, and negative values indicate worse agreement than expected by chance.</w:t>
      </w:r>
    </w:p>
    <w:p w14:paraId="16E0EF99" w14:textId="143FF37F" w:rsidR="00CB5E60" w:rsidRDefault="00CB5E60" w:rsidP="00C65433">
      <w:pPr>
        <w:pStyle w:val="ListParagraph"/>
        <w:keepNext/>
        <w:numPr>
          <w:ilvl w:val="1"/>
          <w:numId w:val="3"/>
        </w:numPr>
        <w:rPr>
          <w:rFonts w:ascii="Times New Roman" w:hAnsi="Times New Roman" w:cs="Times New Roman"/>
          <w:b/>
        </w:rPr>
      </w:pPr>
      <w:r>
        <w:rPr>
          <w:rFonts w:ascii="Times New Roman" w:hAnsi="Times New Roman" w:cs="Times New Roman" w:hint="eastAsia"/>
          <w:b/>
        </w:rPr>
        <w:t>ROC-AUC</w:t>
      </w:r>
    </w:p>
    <w:p>
      <w:pPr>
        <w:pStyle w:val="Normal"/>
        <w:widowControl/>
        <w:spacing w:after="160" w:line="278" w:lineRule="auto"/>
        <w:ind w:left="1440"/>
      </w:pPr>
      <w:r>
        <w:rPr>
          <w:rFonts w:ascii="Times New Roman" w:hAnsi="Times New Roman" w:cs="Times New Roman"/>
          <w:color w:val="000000"/>
          <w:sz w:val="24"/>
          <w:szCs w:val="24"/>
          <w:lang w:val="en-US"/>
        </w:rPr>
        <w:t>For Jigsaw Toxic Comment Classification, we compute the area under the receiver operating characteristic curve (ROC-AUC) separately for each of the six labels and take their arithmetic mean. Each label therefore contributes equally. AUC measures how well continuous prediction scores rank positive examples above negative examples, with ties receiving half credit. Predictions are not thresholded into binary decisions. Higher values are better; 0.5 represents random ranking and 1 represents perfect ranking.</w:t>
      </w:r>
    </w:p>
    <w:p w14:paraId="16014796" w14:textId="7DCC5C66" w:rsidR="00CB5E60" w:rsidRDefault="00CB5E60" w:rsidP="00C65433">
      <w:pPr>
        <w:pStyle w:val="ListParagraph"/>
        <w:keepNext/>
        <w:numPr>
          <w:ilvl w:val="1"/>
          <w:numId w:val="3"/>
        </w:numPr>
        <w:rPr>
          <w:rFonts w:ascii="Times New Roman" w:hAnsi="Times New Roman" w:cs="Times New Roman"/>
          <w:b/>
        </w:rPr>
      </w:pPr>
      <w:r>
        <w:rPr>
          <w:rFonts w:ascii="Times New Roman" w:hAnsi="Times New Roman" w:cs="Times New Roman" w:hint="eastAsia"/>
          <w:b/>
        </w:rPr>
        <w:t>Log loss</w:t>
      </w:r>
      <w:r>
        <w:rPr>
          <w:rFonts w:ascii="Times New Roman" w:hAnsi="Times New Roman" w:cs="Times New Roman"/>
          <w:b/>
        </w:rPr>
        <w:t xml:space="preserve"/>
      </w:r>
    </w:p>
    <w:p>
      <w:pPr>
        <w:pStyle w:val="Normal"/>
        <w:widowControl/>
        <w:spacing w:after="160" w:line="278" w:lineRule="auto"/>
        <w:ind w:left="1440"/>
      </w:pPr>
      <w:r>
        <w:rPr>
          <w:rFonts w:ascii="Times New Roman" w:hAnsi="Times New Roman" w:cs="Times New Roman"/>
          <w:color w:val="000000"/>
          <w:sz w:val="24"/>
          <w:szCs w:val="24"/>
          <w:lang w:val="en-US"/>
        </w:rPr>
        <w:t>For LMSYS, multiclass log loss evaluates probabilities for the three preference outcomes, which sum to one for each example:</w:t>
      </w:r>
    </w:p>
    <w:p>
      <w:pPr>
        <w:pStyle w:val="Normal"/>
        <w:keepNext/>
        <w:widowControl/>
        <w:spacing w:after="160" w:line="278" w:lineRule="auto"/>
        <w:ind w:left="1440"/>
      </w:pPr>
      <m:oMathPara>
        <m:oMathParaPr>
          <m:jc m:val="center"/>
        </m:oMathParaPr>
        <m:oMath>
          <m:r>
            <m:rPr>
              <m:sty m:val="p"/>
            </m:rPr>
            <w:rPr>
              <w:rFonts w:ascii="Cambria Math" w:hAnsi="Cambria Math"/>
              <w:sz w:val="24"/>
            </w:rPr>
            <m:t>L = −</m:t>
          </m:r>
          <m:f>
            <m:num>
              <m:r>
                <m:rPr>
                  <m:sty m:val="p"/>
                </m:rPr>
                <w:rPr>
                  <w:rFonts w:ascii="Cambria Math" w:hAnsi="Cambria Math"/>
                  <w:sz w:val="24"/>
                </w:rPr>
                <m:t>1</m:t>
              </m:r>
            </m:num>
            <m:den>
              <m:r>
                <m:rPr>
                  <m:sty m:val="p"/>
                </m:rPr>
                <w:rPr>
                  <w:rFonts w:ascii="Cambria Math" w:hAnsi="Cambria Math"/>
                  <w:sz w:val="24"/>
                </w:rPr>
                <m:t>N</m:t>
              </m:r>
            </m:den>
          </m:f>
          <m:nary>
            <m:naryPr>
              <m:chr m:val="∑"/>
              <m:limLoc m:val="undOvr"/>
            </m:naryPr>
            <m:sub>
              <m:r>
                <m:rPr>
                  <m:sty m:val="p"/>
                </m:rPr>
                <w:rPr>
                  <w:rFonts w:ascii="Cambria Math" w:hAnsi="Cambria Math"/>
                  <w:sz w:val="24"/>
                </w:rPr>
                <m:t>i = 1</m:t>
              </m:r>
            </m:sub>
            <m:sup>
              <m:r>
                <m:rPr>
                  <m:sty m:val="p"/>
                </m:rPr>
                <w:rPr>
                  <w:rFonts w:ascii="Cambria Math" w:hAnsi="Cambria Math"/>
                  <w:sz w:val="24"/>
                </w:rPr>
                <m:t>N</m:t>
              </m:r>
            </m:sup>
            <m:e>
              <m:r>
                <m:rPr>
                  <m:sty m:val="p"/>
                </m:rPr>
                <w:rPr>
                  <w:rFonts w:ascii="Cambria Math" w:hAnsi="Cambria Math"/>
                  <w:sz w:val="24"/>
                </w:rPr>
                <m:t>log </m:t>
              </m:r>
              <m:sSub>
                <m:e>
                  <m:r>
                    <m:rPr>
                      <m:sty m:val="p"/>
                    </m:rPr>
                    <w:rPr>
                      <w:rFonts w:ascii="Cambria Math" w:hAnsi="Cambria Math"/>
                      <w:sz w:val="24"/>
                    </w:rPr>
                    <m:t>p</m:t>
                  </m:r>
                </m:e>
                <m:sub>
                  <m:r>
                    <m:rPr>
                      <m:sty m:val="p"/>
                    </m:rPr>
                    <w:rPr>
                      <w:rFonts w:ascii="Cambria Math" w:hAnsi="Cambria Math"/>
                      <w:sz w:val="24"/>
                    </w:rPr>
                    <m:t>i,</m:t>
                  </m:r>
                  <m:sSub>
                    <m:e>
                      <m:r>
                        <m:rPr>
                          <m:sty m:val="p"/>
                        </m:rPr>
                        <w:rPr>
                          <w:rFonts w:ascii="Cambria Math" w:hAnsi="Cambria Math"/>
                          <w:sz w:val="24"/>
                        </w:rPr>
                        <m:t>y</m:t>
                      </m:r>
                    </m:e>
                    <m:sub>
                      <m:r>
                        <m:rPr>
                          <m:sty m:val="p"/>
                        </m:rPr>
                        <w:rPr>
                          <w:rFonts w:ascii="Cambria Math" w:hAnsi="Cambria Math"/>
                          <w:sz w:val="24"/>
                        </w:rPr>
                        <m:t>i</m:t>
                      </m:r>
                    </m:sub>
                  </m:sSub>
                </m:sub>
              </m:sSub>
            </m:e>
          </m:nary>
        </m:oMath>
      </m:oMathPara>
    </w:p>
    <w:p>
      <w:pPr>
        <w:pStyle w:val="Normal"/>
        <w:widowControl/>
        <w:spacing w:after="160" w:line="278" w:lineRule="auto"/>
        <w:ind w:left="1440"/>
      </w:pPr>
      <w:r>
        <w:rPr>
          <w:rFonts w:ascii="Times New Roman" w:hAnsi="Times New Roman" w:cs="Times New Roman"/>
          <w:color w:val="000000"/>
          <w:sz w:val="24"/>
          <w:szCs w:val="24"/>
          <w:lang w:val="en-US"/>
        </w:rPr>
        <w:t>Here, N is the number of examples, and each probability term corresponds to its example’s true class. Lower values are better. Natural logarithms strongly penalize confident incorrect predictions.</w:t>
      </w:r>
    </w:p>
    <w:p w14:paraId="2192B529" w14:textId="0082E60A" w:rsidR="00284D6A" w:rsidRDefault="00284D6A" w:rsidP="00C65433">
      <w:pPr>
        <w:pStyle w:val="ListParagraph"/>
        <w:keepNext/>
        <w:numPr>
          <w:ilvl w:val="1"/>
          <w:numId w:val="3"/>
        </w:numPr>
        <w:rPr>
          <w:rFonts w:ascii="Times New Roman" w:hAnsi="Times New Roman" w:cs="Times New Roman"/>
          <w:b/>
        </w:rPr>
      </w:pPr>
      <w:r>
        <w:rPr>
          <w:rFonts w:ascii="Times New Roman" w:hAnsi="Times New Roman" w:cs="Times New Roman"/>
          <w:b/>
        </w:rPr>
        <w:t>Bias AUC</w:t>
      </w:r>
    </w:p>
    <w:p>
      <w:pPr>
        <w:pStyle w:val="Normal"/>
        <w:widowControl/>
        <w:spacing w:after="160" w:line="278" w:lineRule="auto"/>
        <w:ind w:left="1440"/>
      </w:pPr>
      <w:r>
        <w:rPr>
          <w:rFonts w:ascii="Times New Roman" w:hAnsi="Times New Roman" w:cs="Times New Roman"/>
          <w:color w:val="000000"/>
          <w:sz w:val="24"/>
          <w:szCs w:val="24"/>
          <w:lang w:val="en-US"/>
        </w:rPr>
        <w:t>For Jigsaw Unintended Bias, the composite score combines overall ROC-AUC with three identity-sensitive components. Subgroup AUC evaluates examples within an identity group. Background Positive–Subgroup Negative (BPSN) AUC compares toxic background examples with non-toxic subgroup examples, exposing overprediction of toxicity in the subgroup. Background Negative–Subgroup Positive (BNSP) AUC compares non-toxic background examples with toxic subgroup examples, exposing underprediction of subgroup toxicity. Background denotes examples outside the identity group being evaluated.</w:t>
      </w:r>
    </w:p>
    <w:p>
      <w:pPr>
        <w:pStyle w:val="Normal"/>
        <w:widowControl/>
        <w:spacing w:after="160" w:line="278" w:lineRule="auto"/>
        <w:ind w:left="1440"/>
      </w:pPr>
      <w:r>
        <w:rPr>
          <w:rFonts w:ascii="Times New Roman" w:hAnsi="Times New Roman" w:cs="Times New Roman"/>
          <w:color w:val="000000"/>
          <w:sz w:val="24"/>
          <w:szCs w:val="24"/>
          <w:lang w:val="en-US"/>
        </w:rPr>
        <w:t>Across the nine identity groups g, each bias component t is aggregated using a generalized mean with exponent −5:</w:t>
      </w:r>
    </w:p>
    <w:p>
      <w:pPr>
        <w:pStyle w:val="Normal"/>
        <w:keepNext/>
        <w:widowControl/>
        <w:spacing w:after="160" w:line="278" w:lineRule="auto"/>
        <w:ind w:left="1440"/>
      </w:pPr>
      <m:oMathPara>
        <m:oMathParaPr>
          <m:jc m:val="center"/>
        </m:oMathParaPr>
        <m:oMath>
          <m:sSub>
            <m:e>
              <m:r>
                <m:rPr>
                  <m:sty m:val="p"/>
                </m:rPr>
                <w:rPr>
                  <w:rFonts w:ascii="Cambria Math" w:hAnsi="Cambria Math"/>
                  <w:sz w:val="24"/>
                </w:rPr>
                <m:t>M</m:t>
              </m:r>
            </m:e>
            <m:sub>
              <m:r>
                <m:rPr>
                  <m:sty m:val="p"/>
                </m:rPr>
                <w:rPr>
                  <w:rFonts w:ascii="Cambria Math" w:hAnsi="Cambria Math"/>
                  <w:sz w:val="24"/>
                </w:rPr>
                <m:t>t</m:t>
              </m:r>
            </m:sub>
          </m:sSub>
          <m:r>
            <m:rPr>
              <m:sty m:val="p"/>
            </m:rPr>
            <w:rPr>
              <w:rFonts w:ascii="Cambria Math" w:hAnsi="Cambria Math"/>
              <w:sz w:val="24"/>
            </w:rPr>
            <m:t> = </m:t>
          </m:r>
          <m:sSup>
            <m:e>
              <m:r>
                <m:rPr>
                  <m:sty m:val="p"/>
                </m:rPr>
                <w:rPr>
                  <w:rFonts w:ascii="Cambria Math" w:hAnsi="Cambria Math"/>
                  <w:sz w:val="24"/>
                </w:rPr>
                <m:t>(</m:t>
              </m:r>
              <m:f>
                <m:num>
                  <m:r>
                    <m:rPr>
                      <m:sty m:val="p"/>
                    </m:rPr>
                    <w:rPr>
                      <w:rFonts w:ascii="Cambria Math" w:hAnsi="Cambria Math"/>
                      <w:sz w:val="24"/>
                    </w:rPr>
                    <m:t>1</m:t>
                  </m:r>
                </m:num>
                <m:den>
                  <m:r>
                    <m:rPr>
                      <m:sty m:val="p"/>
                    </m:rPr>
                    <w:rPr>
                      <w:rFonts w:ascii="Cambria Math" w:hAnsi="Cambria Math"/>
                      <w:sz w:val="24"/>
                    </w:rPr>
                    <m:t>9</m:t>
                  </m:r>
                </m:den>
              </m:f>
              <m:nary>
                <m:naryPr>
                  <m:chr m:val="∑"/>
                  <m:limLoc m:val="undOvr"/>
                </m:naryPr>
                <m:sub>
                  <m:r>
                    <m:rPr>
                      <m:sty m:val="p"/>
                    </m:rPr>
                    <w:rPr>
                      <w:rFonts w:ascii="Cambria Math" w:hAnsi="Cambria Math"/>
                      <w:sz w:val="24"/>
                    </w:rPr>
                    <m:t>g = 1</m:t>
                  </m:r>
                </m:sub>
                <m:sup>
                  <m:r>
                    <m:rPr>
                      <m:sty m:val="p"/>
                    </m:rPr>
                    <w:rPr>
                      <w:rFonts w:ascii="Cambria Math" w:hAnsi="Cambria Math"/>
                      <w:sz w:val="24"/>
                    </w:rPr>
                    <m:t>9</m:t>
                  </m:r>
                </m:sup>
                <m:e>
                  <m:sSup>
                    <m:e>
                      <m:sSub>
                        <m:e>
                          <m:r>
                            <m:rPr>
                              <m:sty m:val="p"/>
                            </m:rPr>
                            <w:rPr>
                              <w:rFonts w:ascii="Cambria Math" w:hAnsi="Cambria Math"/>
                              <w:sz w:val="24"/>
                            </w:rPr>
                            <m:t>A</m:t>
                          </m:r>
                        </m:e>
                        <m:sub>
                          <m:r>
                            <m:rPr>
                              <m:sty m:val="p"/>
                            </m:rPr>
                            <w:rPr>
                              <w:rFonts w:ascii="Cambria Math" w:hAnsi="Cambria Math"/>
                              <w:sz w:val="24"/>
                            </w:rPr>
                            <m:t>g,t</m:t>
                          </m:r>
                        </m:sub>
                      </m:sSub>
                    </m:e>
                    <m:sup>
                      <m:r>
                        <m:rPr>
                          <m:sty m:val="p"/>
                        </m:rPr>
                        <w:rPr>
                          <w:rFonts w:ascii="Cambria Math" w:hAnsi="Cambria Math"/>
                          <w:sz w:val="24"/>
                        </w:rPr>
                        <m:t>−5</m:t>
                      </m:r>
                    </m:sup>
                  </m:sSup>
                </m:e>
              </m:nary>
              <m:r>
                <m:rPr>
                  <m:sty m:val="p"/>
                </m:rPr>
                <w:rPr>
                  <w:rFonts w:ascii="Cambria Math" w:hAnsi="Cambria Math"/>
                  <w:sz w:val="24"/>
                </w:rPr>
                <m:t>)</m:t>
              </m:r>
            </m:e>
            <m:sup>
              <m:r>
                <m:rPr>
                  <m:sty m:val="p"/>
                </m:rPr>
                <w:rPr>
                  <w:rFonts w:ascii="Cambria Math" w:hAnsi="Cambria Math"/>
                  <w:sz w:val="24"/>
                </w:rPr>
                <m:t>−1/5</m:t>
              </m:r>
            </m:sup>
          </m:sSup>
        </m:oMath>
      </m:oMathPara>
    </w:p>
    <w:p>
      <w:pPr>
        <w:pStyle w:val="Normal"/>
        <w:keepNext/>
        <w:widowControl/>
        <w:spacing w:after="160" w:line="278" w:lineRule="auto"/>
        <w:ind w:left="1440"/>
      </w:pPr>
      <m:oMathPara>
        <m:oMathParaPr>
          <m:jc m:val="center"/>
        </m:oMathParaPr>
        <m:oMath>
          <m:r>
            <m:rPr>
              <m:sty m:val="p"/>
            </m:rPr>
            <w:rPr>
              <w:rFonts w:ascii="Cambria Math" w:hAnsi="Cambria Math"/>
              <w:sz w:val="24"/>
            </w:rPr>
            <m:t>Bias AUC = 0.25(</m:t>
          </m:r>
          <m:sSub>
            <m:e>
              <m:r>
                <m:rPr>
                  <m:sty m:val="p"/>
                </m:rPr>
                <w:rPr>
                  <w:rFonts w:ascii="Cambria Math" w:hAnsi="Cambria Math"/>
                  <w:sz w:val="24"/>
                </w:rPr>
                <m:t>A</m:t>
              </m:r>
            </m:e>
            <m:sub>
              <m:r>
                <m:rPr>
                  <m:sty m:val="p"/>
                </m:rPr>
                <w:rPr>
                  <w:rFonts w:ascii="Cambria Math" w:hAnsi="Cambria Math"/>
                  <w:sz w:val="24"/>
                </w:rPr>
                <m:t>all</m:t>
              </m:r>
            </m:sub>
          </m:sSub>
          <m:r>
            <m:rPr>
              <m:sty m:val="p"/>
            </m:rPr>
            <w:rPr>
              <w:rFonts w:ascii="Cambria Math" w:hAnsi="Cambria Math"/>
              <w:sz w:val="24"/>
            </w:rPr>
            <m:t> + </m:t>
          </m:r>
          <m:sSub>
            <m:e>
              <m:r>
                <m:rPr>
                  <m:sty m:val="p"/>
                </m:rPr>
                <w:rPr>
                  <w:rFonts w:ascii="Cambria Math" w:hAnsi="Cambria Math"/>
                  <w:sz w:val="24"/>
                </w:rPr>
                <m:t>M</m:t>
              </m:r>
            </m:e>
            <m:sub>
              <m:r>
                <m:rPr>
                  <m:sty m:val="p"/>
                </m:rPr>
                <w:rPr>
                  <w:rFonts w:ascii="Cambria Math" w:hAnsi="Cambria Math"/>
                  <w:sz w:val="24"/>
                </w:rPr>
                <m:t>Subgroup</m:t>
              </m:r>
            </m:sub>
          </m:sSub>
          <m:r>
            <m:rPr>
              <m:sty m:val="p"/>
            </m:rPr>
            <w:rPr>
              <w:rFonts w:ascii="Cambria Math" w:hAnsi="Cambria Math"/>
              <w:sz w:val="24"/>
            </w:rPr>
            <m:t> + </m:t>
          </m:r>
          <m:sSub>
            <m:e>
              <m:r>
                <m:rPr>
                  <m:sty m:val="p"/>
                </m:rPr>
                <w:rPr>
                  <w:rFonts w:ascii="Cambria Math" w:hAnsi="Cambria Math"/>
                  <w:sz w:val="24"/>
                </w:rPr>
                <m:t>M</m:t>
              </m:r>
            </m:e>
            <m:sub>
              <m:r>
                <m:rPr>
                  <m:sty m:val="p"/>
                </m:rPr>
                <w:rPr>
                  <w:rFonts w:ascii="Cambria Math" w:hAnsi="Cambria Math"/>
                  <w:sz w:val="24"/>
                </w:rPr>
                <m:t>BPSN</m:t>
              </m:r>
            </m:sub>
          </m:sSub>
          <m:r>
            <m:rPr>
              <m:sty m:val="p"/>
            </m:rPr>
            <w:rPr>
              <w:rFonts w:ascii="Cambria Math" w:hAnsi="Cambria Math"/>
              <w:sz w:val="24"/>
            </w:rPr>
            <m:t> + </m:t>
          </m:r>
          <m:sSub>
            <m:e>
              <m:r>
                <m:rPr>
                  <m:sty m:val="p"/>
                </m:rPr>
                <w:rPr>
                  <w:rFonts w:ascii="Cambria Math" w:hAnsi="Cambria Math"/>
                  <w:sz w:val="24"/>
                </w:rPr>
                <m:t>M</m:t>
              </m:r>
            </m:e>
            <m:sub>
              <m:r>
                <m:rPr>
                  <m:sty m:val="p"/>
                </m:rPr>
                <w:rPr>
                  <w:rFonts w:ascii="Cambria Math" w:hAnsi="Cambria Math"/>
                  <w:sz w:val="24"/>
                </w:rPr>
                <m:t>BNSP</m:t>
              </m:r>
            </m:sub>
          </m:sSub>
          <m:r>
            <m:rPr>
              <m:sty m:val="p"/>
            </m:rPr>
            <w:rPr>
              <w:rFonts w:ascii="Cambria Math" w:hAnsi="Cambria Math"/>
              <w:sz w:val="24"/>
            </w:rPr>
            <m:t>)</m:t>
          </m:r>
        </m:oMath>
      </m:oMathPara>
    </w:p>
    <w:p>
      <w:pPr>
        <w:pStyle w:val="Normal"/>
        <w:widowControl/>
        <w:spacing w:after="160" w:line="278" w:lineRule="auto"/>
        <w:ind w:left="1440"/>
      </w:pPr>
      <w:r>
        <w:rPr>
          <w:rFonts w:ascii="Times New Roman" w:hAnsi="Times New Roman" w:cs="Times New Roman"/>
          <w:color w:val="000000"/>
          <w:sz w:val="24"/>
          <w:szCs w:val="24"/>
          <w:lang w:val="en-US"/>
        </w:rPr>
        <w:t>The negative exponent emphasizes groups with lower AUCs. Overall AUC and the three aggregates receive equal weight. Higher scores are better. Ground-truth toxicity and identity annotations are binarized at 0.5, while predicted toxicity scores remain continuous. In the fixed validation evaluator, any component lacking positive or negative examples is treated as undefined rather than silently omitted.</w:t>
      </w:r>
    </w:p>
    <w:p w14:paraId="4306D208" w14:textId="0CA22301" w:rsidR="009A6AAE" w:rsidRPr="00C65433" w:rsidRDefault="009A6AAE" w:rsidP="00C65433">
      <w:pPr>
        <w:pStyle w:val="ListParagraph"/>
        <w:keepNext/>
        <w:numPr>
          <w:ilvl w:val="1"/>
          <w:numId w:val="3"/>
        </w:numPr>
        <w:rPr>
          <w:rFonts w:ascii="Times New Roman" w:hAnsi="Times New Roman" w:cs="Times New Roman"/>
          <w:b/>
        </w:rPr>
      </w:pPr>
      <w:r>
        <w:rPr>
          <w:rFonts w:ascii="Times New Roman" w:hAnsi="Times New Roman" w:cs="Times New Roman" w:hint="eastAsia"/>
          <w:b/>
        </w:rPr>
        <w:t>Vendi score</w:t>
      </w:r>
      <w:r>
        <w:rPr>
          <w:rFonts w:ascii="Times New Roman" w:hAnsi="Times New Roman" w:cs="Times New Roman"/>
          <w:b/>
        </w:rPr>
        <w:t xml:space="preserve"/>
      </w:r>
    </w:p>
    <w:p>
      <w:pPr>
        <w:pStyle w:val="Normal"/>
        <w:widowControl/>
        <w:spacing w:after="160" w:line="278" w:lineRule="auto"/>
        <w:ind w:left="1440"/>
      </w:pPr>
      <w:r>
        <w:rPr>
          <w:rFonts w:ascii="Times New Roman" w:hAnsi="Times New Roman" w:cs="Times New Roman"/>
          <w:color w:val="000000"/>
          <w:sz w:val="24"/>
          <w:szCs w:val="24"/>
          <w:lang w:val="en-US"/>
        </w:rPr>
        <w:t xml:space="preserve">We measure solution diversity from complete candidate implementations. Each candidate’s source code is summarized independently into a neutral description of at most 160 words. Only this description is embedded using all-MiniLM-L6-v2; experimental labels, performance scores, and analogy reports are excluded. Let K be the cosine-similarity matrix of m candidate embeddings, and let </w:t>
      </w:r>
      <m:oMath>
        <m:sSub>
          <m:e>
            <m:r>
              <m:rPr>
                <m:sty m:val="p"/>
              </m:rPr>
              <w:rPr>
                <w:rFonts w:ascii="Cambria Math" w:hAnsi="Cambria Math"/>
                <w:sz w:val="24"/>
              </w:rPr>
              <m:t>λ</m:t>
            </m:r>
          </m:e>
          <m:sub>
            <m:r>
              <m:rPr>
                <m:sty m:val="p"/>
              </m:rPr>
              <w:rPr>
                <w:rFonts w:ascii="Cambria Math" w:hAnsi="Cambria Math"/>
                <w:sz w:val="24"/>
              </w:rPr>
              <m:t>i</m:t>
            </m:r>
          </m:sub>
        </m:sSub>
      </m:oMath>
      <w:r>
        <w:rPr>
          <w:rFonts w:ascii="Times New Roman" w:hAnsi="Times New Roman" w:cs="Times New Roman"/>
          <w:color w:val="000000"/>
          <w:sz w:val="24"/>
          <w:szCs w:val="24"/>
          <w:lang w:val="en-US"/>
        </w:rPr>
        <w:t xml:space="preserve"> be the eigenvalues of K/m. The Vendi score is</w:t>
      </w:r>
    </w:p>
    <w:p>
      <w:pPr>
        <w:pStyle w:val="Normal"/>
        <w:keepNext/>
        <w:widowControl/>
        <w:spacing w:after="160" w:line="278" w:lineRule="auto"/>
        <w:ind w:left="1440"/>
      </w:pPr>
      <m:oMathPara>
        <m:oMathParaPr>
          <m:jc m:val="center"/>
        </m:oMathParaPr>
        <m:oMath>
          <m:r>
            <m:rPr>
              <m:sty m:val="p"/>
            </m:rPr>
            <w:rPr>
              <w:rFonts w:ascii="Cambria Math" w:hAnsi="Cambria Math"/>
              <w:sz w:val="24"/>
            </w:rPr>
            <m:t>VS = exp(−</m:t>
          </m:r>
          <m:nary>
            <m:naryPr>
              <m:chr m:val="∑"/>
              <m:limLoc m:val="undOvr"/>
            </m:naryPr>
            <m:sub>
              <m:r>
                <m:rPr>
                  <m:sty m:val="p"/>
                </m:rPr>
                <w:rPr>
                  <w:rFonts w:ascii="Cambria Math" w:hAnsi="Cambria Math"/>
                  <w:sz w:val="24"/>
                </w:rPr>
                <m:t>i = 1</m:t>
              </m:r>
            </m:sub>
            <m:sup>
              <m:r>
                <m:rPr>
                  <m:sty m:val="p"/>
                </m:rPr>
                <w:rPr>
                  <w:rFonts w:ascii="Cambria Math" w:hAnsi="Cambria Math"/>
                  <w:sz w:val="24"/>
                </w:rPr>
                <m:t>m</m:t>
              </m:r>
            </m:sup>
            <m:e>
              <m:sSub>
                <m:e>
                  <m:r>
                    <m:rPr>
                      <m:sty m:val="p"/>
                    </m:rPr>
                    <w:rPr>
                      <w:rFonts w:ascii="Cambria Math" w:hAnsi="Cambria Math"/>
                      <w:sz w:val="24"/>
                    </w:rPr>
                    <m:t>λ</m:t>
                  </m:r>
                </m:e>
                <m:sub>
                  <m:r>
                    <m:rPr>
                      <m:sty m:val="p"/>
                    </m:rPr>
                    <w:rPr>
                      <w:rFonts w:ascii="Cambria Math" w:hAnsi="Cambria Math"/>
                      <w:sz w:val="24"/>
                    </w:rPr>
                    <m:t>i</m:t>
                  </m:r>
                </m:sub>
              </m:sSub>
              <m:r>
                <m:rPr>
                  <m:sty m:val="p"/>
                </m:rPr>
                <w:rPr>
                  <w:rFonts w:ascii="Cambria Math" w:hAnsi="Cambria Math"/>
                  <w:sz w:val="24"/>
                </w:rPr>
                <m:t> log </m:t>
              </m:r>
              <m:sSub>
                <m:e>
                  <m:r>
                    <m:rPr>
                      <m:sty m:val="p"/>
                    </m:rPr>
                    <w:rPr>
                      <w:rFonts w:ascii="Cambria Math" w:hAnsi="Cambria Math"/>
                      <w:sz w:val="24"/>
                    </w:rPr>
                    <m:t>λ</m:t>
                  </m:r>
                </m:e>
                <m:sub>
                  <m:r>
                    <m:rPr>
                      <m:sty m:val="p"/>
                    </m:rPr>
                    <w:rPr>
                      <w:rFonts w:ascii="Cambria Math" w:hAnsi="Cambria Math"/>
                      <w:sz w:val="24"/>
                    </w:rPr>
                    <m:t>i</m:t>
                  </m:r>
                </m:sub>
              </m:sSub>
            </m:e>
          </m:nary>
          <m:r>
            <m:rPr>
              <m:sty m:val="p"/>
            </m:rPr>
            <w:rPr>
              <w:rFonts w:ascii="Cambria Math" w:hAnsi="Cambria Math"/>
              <w:sz w:val="24"/>
            </w:rPr>
            <m:t>)</m:t>
          </m:r>
        </m:oMath>
      </m:oMathPara>
    </w:p>
    <w:p>
      <w:pPr>
        <w:pStyle w:val="Normal"/>
        <w:widowControl/>
        <w:spacing w:after="160" w:line="278" w:lineRule="auto"/>
        <w:ind w:left="1440"/>
      </w:pPr>
      <w:r>
        <w:rPr>
          <w:rFonts w:ascii="Times New Roman" w:hAnsi="Times New Roman" w:cs="Times New Roman"/>
          <w:color w:val="000000"/>
          <w:sz w:val="24"/>
          <w:szCs w:val="24"/>
          <w:lang w:val="en-US"/>
        </w:rPr>
        <w:t>with zero eigenvalues contributing zero. The score ranges from 1 for identical embeddings to m for mutually orthogonal embeddings and can be interpreted as an effective number of distinct solutions under this representation. Higher values indicate greater diversity, without establishing correctness, scientific novelty, or predictive quality.</w:t>
      </w:r>
    </w:p>
    <w:p>
      <w:pPr>
        <w:pStyle w:val="Normal"/>
        <w:widowControl/>
        <w:spacing w:after="160" w:line="278" w:lineRule="auto"/>
        <w:ind w:left="1440"/>
      </w:pPr>
      <w:r>
        <w:rPr>
          <w:rFonts w:ascii="Times New Roman" w:hAnsi="Times New Roman" w:cs="Times New Roman"/>
          <w:color w:val="000000"/>
          <w:sz w:val="24"/>
          <w:szCs w:val="24"/>
          <w:lang w:val="en-US"/>
        </w:rPr>
        <w:t>To control for different candidate counts, runs with at least two available representations are compared at matched subset sizes, up to a shared minimum run size. For each size, we average over all subsets when there are at most 1,000 combinations; otherwise, we draw 1,000 subsets, sampling without replacement within each draw. Scores are computed within individual runs, and comparisons remain within the same task and experimental cohort. Repeated implementations retain their frequency, and failed training attempts remain eligible when their code can be represented. Missing or failed representations are reported as missing, not zero diversity. Subset variability describes sensitivity to candidate selection, not confidence intervals for differences between methods.</w:t>
      </w:r>
    </w:p>
    <w:p w14:paraId="322CC775" w14:textId="77777777" w:rsidR="008E0196" w:rsidRPr="008E0196" w:rsidRDefault="008E0196" w:rsidP="008E0196">
      <w:pPr>
        <w:pStyle w:val="ListParagraph"/>
        <w:rPr>
          <w:rFonts w:ascii="Times New Roman" w:hAnsi="Times New Roman" w:cs="Times New Roman"/>
        </w:rPr>
      </w:pPr>
    </w:p>
    <w:p w14:paraId="695D7852" w14:textId="6CB07917" w:rsidR="00586118" w:rsidRPr="00586118" w:rsidRDefault="00586118" w:rsidP="00586118">
      <w:pPr>
        <w:keepNext/>
        <w:rPr>
          <w:rFonts w:ascii="Times New Roman" w:hAnsi="Times New Roman" w:cs="Times New Roman"/>
          <w:b/>
          <w:color w:val="000000"/>
        </w:rPr>
      </w:pPr>
      <w:r w:rsidRPr="00586118">
        <w:rPr>
          <w:rFonts w:ascii="Times New Roman" w:hAnsi="Times New Roman" w:cs="Times New Roman"/>
          <w:b/>
          <w:color w:val="000000"/>
        </w:rPr>
        <w:t>Results</w:t>
      </w:r>
    </w:p>
    <w:p>
      <w:pPr>
        <w:pStyle w:val="Normal"/>
        <w:widowControl/>
        <w:spacing w:after="160" w:line="278" w:lineRule="auto" w:before="0"/>
      </w:pPr>
      <w:r>
        <w:rPr>
          <w:rFonts w:ascii="Times New Roman" w:hAnsi="Times New Roman" w:cs="Times New Roman"/>
          <w:color w:val="000000"/>
          <w:sz w:val="24"/>
          <w:szCs w:val="24"/>
          <w:lang w:val="en-US"/>
        </w:rPr>
        <w:t>We report predictive performance and solution diversity separately. Traditional RAG results are summarized using independently averaged experimental arms, whereas analogical reasoning results are presented as individual baseline–analogy pairs.</w:t>
      </w:r>
    </w:p>
    <w:p w14:paraId="41DDC166" w14:textId="11FB6B3B" w:rsidR="00586118" w:rsidRDefault="009B5368" w:rsidP="009B5368">
      <w:pPr>
        <w:keepNext/>
        <w:pStyle w:val="ListParagraph"/>
        <w:numPr>
          <w:ilvl w:val="0"/>
          <w:numId w:val="4"/>
        </w:numPr>
        <w:rPr>
          <w:rFonts w:ascii="Times New Roman" w:hAnsi="Times New Roman" w:cs="Times New Roman"/>
          <w:b/>
          <w:color w:val="000000"/>
        </w:rPr>
      </w:pPr>
      <w:r>
        <w:rPr>
          <w:rFonts w:ascii="Times New Roman" w:hAnsi="Times New Roman" w:cs="Times New Roman"/>
          <w:b/>
          <w:color w:val="000000"/>
        </w:rPr>
        <w:t>Traditional RAG method</w:t>
      </w:r>
    </w:p>
    <w:p>
      <w:pPr>
        <w:pStyle w:val="Normal"/>
        <w:widowControl/>
        <w:spacing w:after="160" w:line="278" w:lineRule="auto" w:before="0"/>
      </w:pPr>
      <w:r>
        <w:rPr>
          <w:rFonts w:ascii="Times New Roman" w:hAnsi="Times New Roman" w:cs="Times New Roman"/>
          <w:color w:val="000000"/>
          <w:sz w:val="24"/>
          <w:szCs w:val="24"/>
          <w:lang w:val="en-US"/>
        </w:rPr>
        <w:t>Table 1 reports mean private-test scores for the baseline (A), draft-only knowledge injection (B), and draft-plus-improvement injection (C). Each arm is averaged over all its valid runs without requiring matched runs across arms. The sample sizes therefore describe the contributing runs in each arm, rather than the number of paired comparisons.</w:t>
      </w:r>
    </w:p>
    <w:p>
      <w:pPr>
        <w:pStyle w:val="Normal"/>
        <w:widowControl/>
        <w:spacing w:after="100" w:line="278" w:lineRule="auto" w:before="0"/>
        <w:keepNext/>
      </w:pPr>
      <w:r>
        <w:rPr>
          <w:rFonts w:ascii="Times New Roman" w:hAnsi="Times New Roman" w:cs="Times New Roman"/>
          <w:color w:val="000000"/>
          <w:sz w:val="22"/>
          <w:szCs w:val="22"/>
          <w:lang w:val="en-US"/>
          <w:b/>
        </w:rPr>
        <w:t>Table 1. Mean Traditional RAG results on private test sets.</w:t>
      </w:r>
    </w:p>
    <w:tbl>
      <w:tblPr>
        <w:tblW w:w="936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0" w:type="dxa"/>
          <w:right w:w="80" w:type="dxa"/>
        </w:tblCellMar>
      </w:tblPr>
      <w:tblGrid>
        <w:gridCol w:w="1800"/>
        <w:gridCol w:w="1350"/>
        <w:gridCol w:w="1150"/>
        <w:gridCol w:w="950"/>
        <w:gridCol w:w="950"/>
        <w:gridCol w:w="950"/>
        <w:gridCol w:w="1105"/>
        <w:gridCol w:w="1105"/>
      </w:tblGrid>
      <w:tr>
        <w:trPr>
          <w:cantSplit/>
          <w:tblHeader/>
        </w:trPr>
        <w:tc>
          <w:tcPr>
            <w:tcW w:w="1800" w:type="dxa"/>
            <w:vAlign w:val="center"/>
            <w:shd w:val="clear" w:color="auto" w:fill="EDEDED"/>
          </w:tcPr>
          <w:p>
            <w:pPr>
              <w:pStyle w:val="Normal"/>
              <w:widowControl/>
              <w:spacing w:after="0" w:line="240" w:lineRule="auto" w:before="0"/>
              <w:jc w:val="left"/>
            </w:pPr>
            <w:r>
              <w:rPr>
                <w:rFonts w:ascii="Times New Roman" w:hAnsi="Times New Roman" w:cs="Times New Roman"/>
                <w:color w:val="000000"/>
                <w:sz w:val="22"/>
                <w:szCs w:val="22"/>
                <w:lang w:val="en-US"/>
                <w:b/>
              </w:rPr>
              <w:t>Task</w:t>
            </w:r>
          </w:p>
        </w:tc>
        <w:tc>
          <w:tcPr>
            <w:tcW w:w="1350" w:type="dxa"/>
            <w:vAlign w:val="center"/>
            <w:shd w:val="clear" w:color="auto" w:fill="EDEDED"/>
          </w:tcPr>
          <w:p>
            <w:pPr>
              <w:pStyle w:val="Normal"/>
              <w:widowControl/>
              <w:spacing w:after="0" w:line="240" w:lineRule="auto" w:before="0"/>
              <w:jc w:val="center"/>
            </w:pPr>
            <w:r>
              <w:rPr>
                <w:rFonts w:ascii="Times New Roman" w:hAnsi="Times New Roman" w:cs="Times New Roman"/>
                <w:color w:val="000000"/>
                <w:sz w:val="22"/>
                <w:szCs w:val="22"/>
                <w:lang w:val="en-US"/>
                <w:b/>
              </w:rPr>
              <w:t>Metric</w:t>
            </w:r>
          </w:p>
        </w:tc>
        <w:tc>
          <w:tcPr>
            <w:tcW w:w="1150" w:type="dxa"/>
            <w:vAlign w:val="center"/>
            <w:shd w:val="clear" w:color="auto" w:fill="EDEDED"/>
          </w:tcPr>
          <w:p>
            <w:pPr>
              <w:pStyle w:val="Normal"/>
              <w:widowControl/>
              <w:spacing w:after="0" w:line="240" w:lineRule="auto" w:before="0"/>
              <w:jc w:val="center"/>
            </w:pPr>
            <w:r>
              <w:rPr>
                <w:rFonts w:ascii="Times New Roman" w:hAnsi="Times New Roman" w:cs="Times New Roman"/>
                <w:color w:val="000000"/>
                <w:sz w:val="22"/>
                <w:szCs w:val="22"/>
                <w:lang w:val="en-US"/>
                <w:b/>
              </w:rPr>
              <w:t>Runs</w:t>
              <w:br/>
              <w:t>(A, B, C)</w:t>
            </w:r>
          </w:p>
        </w:tc>
        <w:tc>
          <w:tcPr>
            <w:tcW w:w="950" w:type="dxa"/>
            <w:vAlign w:val="center"/>
            <w:shd w:val="clear" w:color="auto" w:fill="EDEDED"/>
          </w:tcPr>
          <w:p>
            <w:pPr>
              <w:pStyle w:val="Normal"/>
              <w:widowControl/>
              <w:spacing w:after="0" w:line="240" w:lineRule="auto" w:before="0"/>
              <w:jc w:val="center"/>
            </w:pPr>
            <w:r>
              <w:rPr>
                <w:rFonts w:ascii="Times New Roman" w:hAnsi="Times New Roman" w:cs="Times New Roman"/>
                <w:color w:val="000000"/>
                <w:sz w:val="22"/>
                <w:szCs w:val="22"/>
                <w:lang w:val="en-US"/>
                <w:b/>
              </w:rPr>
              <w:t>A</w:t>
            </w:r>
          </w:p>
        </w:tc>
        <w:tc>
          <w:tcPr>
            <w:tcW w:w="950" w:type="dxa"/>
            <w:vAlign w:val="center"/>
            <w:shd w:val="clear" w:color="auto" w:fill="EDEDED"/>
          </w:tcPr>
          <w:p>
            <w:pPr>
              <w:pStyle w:val="Normal"/>
              <w:widowControl/>
              <w:spacing w:after="0" w:line="240" w:lineRule="auto" w:before="0"/>
              <w:jc w:val="center"/>
            </w:pPr>
            <w:r>
              <w:rPr>
                <w:rFonts w:ascii="Times New Roman" w:hAnsi="Times New Roman" w:cs="Times New Roman"/>
                <w:color w:val="000000"/>
                <w:sz w:val="22"/>
                <w:szCs w:val="22"/>
                <w:lang w:val="en-US"/>
                <w:b/>
              </w:rPr>
              <w:t>B</w:t>
            </w:r>
          </w:p>
        </w:tc>
        <w:tc>
          <w:tcPr>
            <w:tcW w:w="950" w:type="dxa"/>
            <w:vAlign w:val="center"/>
            <w:shd w:val="clear" w:color="auto" w:fill="EDEDED"/>
          </w:tcPr>
          <w:p>
            <w:pPr>
              <w:pStyle w:val="Normal"/>
              <w:widowControl/>
              <w:spacing w:after="0" w:line="240" w:lineRule="auto" w:before="0"/>
              <w:jc w:val="center"/>
            </w:pPr>
            <w:r>
              <w:rPr>
                <w:rFonts w:ascii="Times New Roman" w:hAnsi="Times New Roman" w:cs="Times New Roman"/>
                <w:color w:val="000000"/>
                <w:sz w:val="22"/>
                <w:szCs w:val="22"/>
                <w:lang w:val="en-US"/>
                <w:b/>
              </w:rPr>
              <w:t>C</w:t>
            </w:r>
          </w:p>
        </w:tc>
        <w:tc>
          <w:tcPr>
            <w:tcW w:w="1105" w:type="dxa"/>
            <w:vAlign w:val="center"/>
            <w:shd w:val="clear" w:color="auto" w:fill="EDEDED"/>
          </w:tcPr>
          <w:p>
            <w:pPr>
              <w:pStyle w:val="Normal"/>
              <w:widowControl/>
              <w:spacing w:after="0" w:line="240" w:lineRule="auto" w:before="0"/>
              <w:jc w:val="center"/>
            </w:pPr>
            <w:r>
              <w:rPr>
                <w:rFonts w:ascii="Times New Roman" w:hAnsi="Times New Roman" w:cs="Times New Roman"/>
                <w:color w:val="000000"/>
                <w:sz w:val="22"/>
                <w:szCs w:val="22"/>
                <w:lang w:val="en-US"/>
                <w:b/>
              </w:rPr>
              <w:t>Δ B−A</w:t>
            </w:r>
          </w:p>
        </w:tc>
        <w:tc>
          <w:tcPr>
            <w:tcW w:w="1105" w:type="dxa"/>
            <w:vAlign w:val="center"/>
            <w:shd w:val="clear" w:color="auto" w:fill="EDEDED"/>
          </w:tcPr>
          <w:p>
            <w:pPr>
              <w:pStyle w:val="Normal"/>
              <w:widowControl/>
              <w:spacing w:after="0" w:line="240" w:lineRule="auto" w:before="0"/>
              <w:jc w:val="center"/>
            </w:pPr>
            <w:r>
              <w:rPr>
                <w:rFonts w:ascii="Times New Roman" w:hAnsi="Times New Roman" w:cs="Times New Roman"/>
                <w:color w:val="000000"/>
                <w:sz w:val="22"/>
                <w:szCs w:val="22"/>
                <w:lang w:val="en-US"/>
                <w:b/>
              </w:rPr>
              <w:t>Δ C−A</w:t>
            </w:r>
          </w:p>
        </w:tc>
      </w:tr>
      <w:tr>
        <w:trPr>
          <w:cantSplit/>
        </w:trPr>
        <w:tc>
          <w:tcPr>
            <w:tcW w:w="1800" w:type="dxa"/>
            <w:vAlign w:val="center"/>
          </w:tcPr>
          <w:p>
            <w:pPr>
              <w:pStyle w:val="Normal"/>
              <w:widowControl/>
              <w:spacing w:after="0" w:line="240" w:lineRule="auto" w:before="0"/>
              <w:jc w:val="left"/>
            </w:pPr>
            <w:r>
              <w:rPr>
                <w:rFonts w:ascii="Times New Roman" w:hAnsi="Times New Roman" w:cs="Times New Roman"/>
                <w:color w:val="000000"/>
                <w:sz w:val="22"/>
                <w:szCs w:val="22"/>
                <w:lang w:val="en-US"/>
              </w:rPr>
              <w:t>Essay</w:t>
            </w:r>
          </w:p>
        </w:tc>
        <w:tc>
          <w:tcPr>
            <w:tcW w:w="135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QWK ↑</w:t>
            </w:r>
          </w:p>
        </w:tc>
        <w:tc>
          <w:tcPr>
            <w:tcW w:w="115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(7,7,7)</w:t>
            </w:r>
          </w:p>
        </w:tc>
        <w:tc>
          <w:tcPr>
            <w:tcW w:w="95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0.82610</w:t>
            </w:r>
          </w:p>
        </w:tc>
        <w:tc>
          <w:tcPr>
            <w:tcW w:w="95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0.82821</w:t>
            </w:r>
          </w:p>
        </w:tc>
        <w:tc>
          <w:tcPr>
            <w:tcW w:w="95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0.82868</w:t>
            </w:r>
          </w:p>
        </w:tc>
        <w:tc>
          <w:tcPr>
            <w:tcW w:w="1105"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+0.00212</w:t>
            </w:r>
          </w:p>
        </w:tc>
        <w:tc>
          <w:tcPr>
            <w:tcW w:w="1105"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+0.00258</w:t>
            </w:r>
          </w:p>
        </w:tc>
      </w:tr>
      <w:tr>
        <w:trPr>
          <w:cantSplit/>
        </w:trPr>
        <w:tc>
          <w:tcPr>
            <w:tcW w:w="1800" w:type="dxa"/>
            <w:vAlign w:val="center"/>
          </w:tcPr>
          <w:p>
            <w:pPr>
              <w:pStyle w:val="Normal"/>
              <w:widowControl/>
              <w:spacing w:after="0" w:line="240" w:lineRule="auto" w:before="0"/>
              <w:jc w:val="left"/>
            </w:pPr>
            <w:r>
              <w:rPr>
                <w:rFonts w:ascii="Times New Roman" w:hAnsi="Times New Roman" w:cs="Times New Roman"/>
                <w:color w:val="000000"/>
                <w:sz w:val="22"/>
                <w:szCs w:val="22"/>
                <w:lang w:val="en-US"/>
              </w:rPr>
              <w:t>Jigsaw</w:t>
            </w:r>
          </w:p>
        </w:tc>
        <w:tc>
          <w:tcPr>
            <w:tcW w:w="135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ROC-AUC ↑</w:t>
            </w:r>
          </w:p>
        </w:tc>
        <w:tc>
          <w:tcPr>
            <w:tcW w:w="115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(4,4,4)</w:t>
            </w:r>
          </w:p>
        </w:tc>
        <w:tc>
          <w:tcPr>
            <w:tcW w:w="95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0.98188</w:t>
            </w:r>
          </w:p>
        </w:tc>
        <w:tc>
          <w:tcPr>
            <w:tcW w:w="95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0.97670</w:t>
            </w:r>
          </w:p>
        </w:tc>
        <w:tc>
          <w:tcPr>
            <w:tcW w:w="95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0.98293</w:t>
            </w:r>
          </w:p>
        </w:tc>
        <w:tc>
          <w:tcPr>
            <w:tcW w:w="1105"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−0.00518</w:t>
            </w:r>
          </w:p>
        </w:tc>
        <w:tc>
          <w:tcPr>
            <w:tcW w:w="1105"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+0.00105</w:t>
            </w:r>
          </w:p>
        </w:tc>
      </w:tr>
      <w:tr>
        <w:trPr>
          <w:cantSplit/>
        </w:trPr>
        <w:tc>
          <w:tcPr>
            <w:tcW w:w="1800" w:type="dxa"/>
            <w:vAlign w:val="center"/>
          </w:tcPr>
          <w:p>
            <w:pPr>
              <w:pStyle w:val="Normal"/>
              <w:widowControl/>
              <w:spacing w:after="0" w:line="240" w:lineRule="auto" w:before="0"/>
              <w:jc w:val="left"/>
            </w:pPr>
            <w:r>
              <w:rPr>
                <w:rFonts w:ascii="Times New Roman" w:hAnsi="Times New Roman" w:cs="Times New Roman"/>
                <w:color w:val="000000"/>
                <w:sz w:val="22"/>
                <w:szCs w:val="22"/>
                <w:lang w:val="en-US"/>
              </w:rPr>
              <w:t>LMSYS</w:t>
            </w:r>
          </w:p>
        </w:tc>
        <w:tc>
          <w:tcPr>
            <w:tcW w:w="135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Log loss ↓</w:t>
            </w:r>
          </w:p>
        </w:tc>
        <w:tc>
          <w:tcPr>
            <w:tcW w:w="115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(5,5,3)</w:t>
            </w:r>
          </w:p>
        </w:tc>
        <w:tc>
          <w:tcPr>
            <w:tcW w:w="95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1.03534</w:t>
            </w:r>
          </w:p>
        </w:tc>
        <w:tc>
          <w:tcPr>
            <w:tcW w:w="95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1.04488</w:t>
            </w:r>
          </w:p>
        </w:tc>
        <w:tc>
          <w:tcPr>
            <w:tcW w:w="95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1.02893</w:t>
            </w:r>
          </w:p>
        </w:tc>
        <w:tc>
          <w:tcPr>
            <w:tcW w:w="1105"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+0.00954</w:t>
            </w:r>
          </w:p>
        </w:tc>
        <w:tc>
          <w:tcPr>
            <w:tcW w:w="1105"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−0.00642</w:t>
            </w:r>
          </w:p>
        </w:tc>
      </w:tr>
      <w:tr>
        <w:trPr>
          <w:cantSplit/>
        </w:trPr>
        <w:tc>
          <w:tcPr>
            <w:tcW w:w="1800" w:type="dxa"/>
            <w:vAlign w:val="center"/>
          </w:tcPr>
          <w:p>
            <w:pPr>
              <w:pStyle w:val="Normal"/>
              <w:widowControl/>
              <w:spacing w:after="0" w:line="240" w:lineRule="auto" w:before="0"/>
              <w:jc w:val="left"/>
            </w:pPr>
            <w:r>
              <w:rPr>
                <w:rFonts w:ascii="Times New Roman" w:hAnsi="Times New Roman" w:cs="Times New Roman"/>
                <w:color w:val="000000"/>
                <w:sz w:val="22"/>
                <w:szCs w:val="22"/>
                <w:lang w:val="en-US"/>
              </w:rPr>
              <w:t>Jigsaw Unintended Bias</w:t>
            </w:r>
          </w:p>
        </w:tc>
        <w:tc>
          <w:tcPr>
            <w:tcW w:w="135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Bias-aware AUC ↑</w:t>
            </w:r>
          </w:p>
        </w:tc>
        <w:tc>
          <w:tcPr>
            <w:tcW w:w="115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(8,6,5)</w:t>
            </w:r>
          </w:p>
        </w:tc>
        <w:tc>
          <w:tcPr>
            <w:tcW w:w="95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0.84012</w:t>
            </w:r>
          </w:p>
        </w:tc>
        <w:tc>
          <w:tcPr>
            <w:tcW w:w="95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0.87707</w:t>
            </w:r>
          </w:p>
        </w:tc>
        <w:tc>
          <w:tcPr>
            <w:tcW w:w="95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0.90108</w:t>
            </w:r>
          </w:p>
        </w:tc>
        <w:tc>
          <w:tcPr>
            <w:tcW w:w="1105"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+0.03694</w:t>
            </w:r>
          </w:p>
        </w:tc>
        <w:tc>
          <w:tcPr>
            <w:tcW w:w="1105"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+0.06096</w:t>
            </w:r>
          </w:p>
        </w:tc>
      </w:tr>
    </w:tbl>
    <w:p>
      <w:pPr>
        <w:pStyle w:val="Normal"/>
        <w:widowControl/>
        <w:spacing w:after="160" w:line="278" w:lineRule="auto" w:before="100"/>
      </w:pPr>
      <w:r>
        <w:rPr>
          <w:rFonts w:ascii="Times New Roman" w:hAnsi="Times New Roman" w:cs="Times New Roman"/>
          <w:color w:val="000000"/>
          <w:sz w:val="22"/>
          <w:szCs w:val="22"/>
          <w:lang w:val="en-US"/>
        </w:rPr>
        <w:t>Scores use capped submissions at K = 1. Deltas are raw differences between independently averaged arms, calculated before rounding. Higher QWK and AUC are better; lower log loss is better. Thus, negative deltas favor RAG on LMSYS.</w:t>
      </w:r>
    </w:p>
    <w:p>
      <w:pPr>
        <w:pStyle w:val="Normal"/>
        <w:widowControl/>
        <w:spacing w:after="160" w:line="278" w:lineRule="auto" w:before="0"/>
      </w:pPr>
      <w:r>
        <w:rPr>
          <w:rFonts w:ascii="Times New Roman" w:hAnsi="Times New Roman" w:cs="Times New Roman"/>
          <w:color w:val="000000"/>
          <w:sz w:val="24"/>
          <w:szCs w:val="24"/>
          <w:lang w:val="en-US"/>
        </w:rPr>
        <w:t>Draft-only injection has higher mean QWK on essay scoring and higher bias-aware AUC on Jigsaw Unintended Bias, but lower ROC-AUC on Jigsaw and higher log loss on LMSYS. Draft-plus-improvement injection has a more favorable mean than the baseline on all four tasks: QWK increases by 0.00258, Jigsaw ROC-AUC by 0.00105, and bias-aware AUC by 0.06096, while LMSYS log loss decreases by 0.00642. These are descriptive differences between independently averaged groups. The small and sometimes unequal sample sizes limit conclusions about the effect of the injection stage.</w:t>
      </w:r>
    </w:p>
    <w:p w14:paraId="3474F1DF" w14:textId="1D2938F6" w:rsidR="009B5368" w:rsidRDefault="009B5368" w:rsidP="009B5368">
      <w:pPr>
        <w:keepNext/>
        <w:pStyle w:val="ListParagraph"/>
        <w:numPr>
          <w:ilvl w:val="0"/>
          <w:numId w:val="4"/>
        </w:numPr>
        <w:rPr>
          <w:rFonts w:ascii="Times New Roman" w:hAnsi="Times New Roman" w:cs="Times New Roman"/>
          <w:b/>
          <w:color w:val="000000"/>
        </w:rPr>
      </w:pPr>
      <w:r>
        <w:rPr>
          <w:rFonts w:ascii="Times New Roman" w:hAnsi="Times New Roman" w:cs="Times New Roman"/>
          <w:b/>
          <w:color w:val="000000"/>
        </w:rPr>
        <w:t>Analogical reasoning method</w:t>
      </w:r>
    </w:p>
    <w:p>
      <w:pPr>
        <w:pStyle w:val="Normal"/>
        <w:widowControl/>
        <w:spacing w:after="160" w:line="278" w:lineRule="auto" w:before="0"/>
      </w:pPr>
      <w:r>
        <w:rPr>
          <w:rFonts w:ascii="Times New Roman" w:hAnsi="Times New Roman" w:cs="Times New Roman"/>
          <w:color w:val="000000"/>
          <w:sz w:val="24"/>
          <w:szCs w:val="24"/>
          <w:lang w:val="en-US"/>
        </w:rPr>
        <w:t>The analogy experiments compare baseline and augmented runs on Jigsaw Unintended Bias. We present MLEvolve and autoresearch separately because they use different evaluation splits and candidate subset sizes for diversity measurement.</w:t>
      </w:r>
    </w:p>
    <w:p w14:paraId="53B0ADD6" w14:textId="1DF7E85A" w:rsidR="00D70506" w:rsidRDefault="00D70506" w:rsidP="00D70506">
      <w:pPr>
        <w:keepNext/>
        <w:pStyle w:val="ListParagraph"/>
        <w:numPr>
          <w:ilvl w:val="1"/>
          <w:numId w:val="4"/>
        </w:numPr>
        <w:rPr>
          <w:rFonts w:ascii="Times New Roman" w:hAnsi="Times New Roman" w:cs="Times New Roman"/>
          <w:b/>
          <w:color w:val="000000"/>
        </w:rPr>
      </w:pPr>
      <w:r>
        <w:rPr>
          <w:rFonts w:ascii="Times New Roman" w:hAnsi="Times New Roman" w:cs="Times New Roman"/>
          <w:b/>
          <w:color w:val="000000"/>
        </w:rPr>
        <w:t>MLEvolve</w:t>
      </w:r>
    </w:p>
    <w:p>
      <w:pPr>
        <w:pStyle w:val="Normal"/>
        <w:widowControl/>
        <w:spacing w:after="160" w:line="278" w:lineRule="auto" w:before="0"/>
      </w:pPr>
      <w:r>
        <w:rPr>
          <w:rFonts w:ascii="Times New Roman" w:hAnsi="Times New Roman" w:cs="Times New Roman"/>
          <w:color w:val="000000"/>
          <w:sz w:val="24"/>
          <w:szCs w:val="24"/>
          <w:lang w:val="en-US"/>
        </w:rPr>
        <w:t>Table 2 compares nine baseline–analogy pairs in MLEvolve. Arm F receives analogical guidance before the first draft and during improvement. Scores are evaluated on the private test set, and solution diversity is measured at a matched subset size of six candidates.</w:t>
      </w:r>
    </w:p>
    <w:p>
      <w:pPr>
        <w:pStyle w:val="Normal"/>
        <w:widowControl/>
        <w:spacing w:after="100" w:line="278" w:lineRule="auto" w:before="0"/>
        <w:keepNext/>
      </w:pPr>
      <w:r>
        <w:rPr>
          <w:rFonts w:ascii="Times New Roman" w:hAnsi="Times New Roman" w:cs="Times New Roman"/>
          <w:color w:val="000000"/>
          <w:sz w:val="22"/>
          <w:szCs w:val="22"/>
          <w:lang w:val="en-US"/>
          <w:b/>
        </w:rPr>
        <w:t>Table 2. Paired MLEvolve results on Jigsaw Unintended Bias.</w:t>
      </w:r>
    </w:p>
    <w:tbl>
      <w:tblPr>
        <w:tblW w:w="936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0" w:type="dxa"/>
          <w:right w:w="80" w:type="dxa"/>
        </w:tblCellMar>
      </w:tblPr>
      <w:tblGrid>
        <w:gridCol w:w="700"/>
        <w:gridCol w:w="2000"/>
        <w:gridCol w:w="1800"/>
        <w:gridCol w:w="1500"/>
        <w:gridCol w:w="1700"/>
        <w:gridCol w:w="1660"/>
      </w:tblGrid>
      <w:tr>
        <w:trPr>
          <w:cantSplit/>
          <w:tblHeader/>
        </w:trPr>
        <w:tc>
          <w:tcPr>
            <w:tcW w:w="700" w:type="dxa"/>
            <w:vAlign w:val="center"/>
            <w:shd w:val="clear" w:color="auto" w:fill="EDEDED"/>
          </w:tcPr>
          <w:p>
            <w:pPr>
              <w:pStyle w:val="Normal"/>
              <w:widowControl/>
              <w:spacing w:after="0" w:line="240" w:lineRule="auto" w:before="0"/>
              <w:jc w:val="center"/>
            </w:pPr>
            <w:r>
              <w:rPr>
                <w:rFonts w:ascii="Times New Roman" w:hAnsi="Times New Roman" w:cs="Times New Roman"/>
                <w:color w:val="000000"/>
                <w:sz w:val="22"/>
                <w:szCs w:val="22"/>
                <w:lang w:val="en-US"/>
                <w:b/>
              </w:rPr>
              <w:t>Pair</w:t>
            </w:r>
          </w:p>
        </w:tc>
        <w:tc>
          <w:tcPr>
            <w:tcW w:w="2000" w:type="dxa"/>
            <w:vAlign w:val="center"/>
            <w:shd w:val="clear" w:color="auto" w:fill="EDEDED"/>
          </w:tcPr>
          <w:p>
            <w:pPr>
              <w:pStyle w:val="Normal"/>
              <w:widowControl/>
              <w:spacing w:after="0" w:line="240" w:lineRule="auto" w:before="0"/>
              <w:jc w:val="left"/>
            </w:pPr>
            <w:r>
              <w:rPr>
                <w:rFonts w:ascii="Times New Roman" w:hAnsi="Times New Roman" w:cs="Times New Roman"/>
                <w:color w:val="000000"/>
                <w:sz w:val="22"/>
                <w:szCs w:val="22"/>
                <w:lang w:val="en-US"/>
                <w:b/>
              </w:rPr>
              <w:t>Method</w:t>
            </w:r>
          </w:p>
        </w:tc>
        <w:tc>
          <w:tcPr>
            <w:tcW w:w="1800" w:type="dxa"/>
            <w:vAlign w:val="center"/>
            <w:shd w:val="clear" w:color="auto" w:fill="EDEDED"/>
          </w:tcPr>
          <w:p>
            <w:pPr>
              <w:pStyle w:val="Normal"/>
              <w:widowControl/>
              <w:spacing w:after="0" w:line="240" w:lineRule="auto" w:before="0"/>
              <w:jc w:val="center"/>
            </w:pPr>
            <w:r>
              <w:rPr>
                <w:rFonts w:ascii="Times New Roman" w:hAnsi="Times New Roman" w:cs="Times New Roman"/>
                <w:color w:val="000000"/>
                <w:sz w:val="22"/>
                <w:szCs w:val="22"/>
                <w:lang w:val="en-US"/>
                <w:b/>
              </w:rPr>
              <w:t>Final score</w:t>
            </w:r>
          </w:p>
        </w:tc>
        <w:tc>
          <w:tcPr>
            <w:tcW w:w="1500" w:type="dxa"/>
            <w:vAlign w:val="center"/>
            <w:shd w:val="clear" w:color="auto" w:fill="EDEDED"/>
          </w:tcPr>
          <w:p>
            <w:pPr>
              <w:pStyle w:val="Normal"/>
              <w:widowControl/>
              <w:spacing w:after="0" w:line="240" w:lineRule="auto" w:before="0"/>
              <w:jc w:val="center"/>
            </w:pPr>
            <w:r>
              <w:rPr>
                <w:rFonts w:ascii="Times New Roman" w:hAnsi="Times New Roman" w:cs="Times New Roman"/>
                <w:color w:val="000000"/>
                <w:sz w:val="22"/>
                <w:szCs w:val="22"/>
                <w:lang w:val="en-US"/>
                <w:b/>
              </w:rPr>
              <w:t>Vendi</w:t>
            </w:r>
          </w:p>
        </w:tc>
        <w:tc>
          <w:tcPr>
            <w:tcW w:w="1700" w:type="dxa"/>
            <w:vAlign w:val="center"/>
            <w:shd w:val="clear" w:color="auto" w:fill="EDEDED"/>
          </w:tcPr>
          <w:p>
            <w:pPr>
              <w:pStyle w:val="Normal"/>
              <w:widowControl/>
              <w:spacing w:after="0" w:line="240" w:lineRule="auto" w:before="0"/>
              <w:jc w:val="center"/>
            </w:pPr>
            <w:r>
              <w:rPr>
                <w:rFonts w:ascii="Times New Roman" w:hAnsi="Times New Roman" w:cs="Times New Roman"/>
                <w:color w:val="000000"/>
                <w:sz w:val="22"/>
                <w:szCs w:val="22"/>
                <w:lang w:val="en-US"/>
                <w:b/>
              </w:rPr>
              <w:t>Δ Score</w:t>
            </w:r>
          </w:p>
        </w:tc>
        <w:tc>
          <w:tcPr>
            <w:tcW w:w="1660" w:type="dxa"/>
            <w:vAlign w:val="center"/>
            <w:shd w:val="clear" w:color="auto" w:fill="EDEDED"/>
          </w:tcPr>
          <w:p>
            <w:pPr>
              <w:pStyle w:val="Normal"/>
              <w:widowControl/>
              <w:spacing w:after="0" w:line="240" w:lineRule="auto" w:before="0"/>
              <w:jc w:val="center"/>
            </w:pPr>
            <w:r>
              <w:rPr>
                <w:rFonts w:ascii="Times New Roman" w:hAnsi="Times New Roman" w:cs="Times New Roman"/>
                <w:color w:val="000000"/>
                <w:sz w:val="22"/>
                <w:szCs w:val="22"/>
                <w:lang w:val="en-US"/>
                <w:b/>
              </w:rPr>
              <w:t>Δ Vendi</w:t>
            </w:r>
          </w:p>
        </w:tc>
      </w:tr>
      <w:tr>
        <w:trPr>
          <w:cantSplit/>
        </w:trPr>
        <w:tc>
          <w:tcPr>
            <w:tcW w:w="700" w:type="dxa"/>
            <w:vAlign w:val="center"/>
            <w:vMerge w:val="restart"/>
          </w:tcPr>
          <w:p>
            <w:pPr>
              <w:pStyle w:val="Normal"/>
              <w:widowControl/>
              <w:spacing w:after="0" w:line="240" w:lineRule="auto" w:before="0"/>
              <w:keepNext/>
              <w:jc w:val="center"/>
            </w:pPr>
            <w:r>
              <w:rPr>
                <w:rFonts w:ascii="Times New Roman" w:hAnsi="Times New Roman" w:cs="Times New Roman"/>
                <w:color w:val="000000"/>
                <w:sz w:val="22"/>
                <w:szCs w:val="22"/>
                <w:lang w:val="en-US"/>
              </w:rPr>
              <w:t>S52</w:t>
            </w:r>
          </w:p>
        </w:tc>
        <w:tc>
          <w:tcPr>
            <w:tcW w:w="2000" w:type="dxa"/>
            <w:vAlign w:val="center"/>
          </w:tcPr>
          <w:p>
            <w:pPr>
              <w:pStyle w:val="Normal"/>
              <w:widowControl/>
              <w:spacing w:after="0" w:line="240" w:lineRule="auto" w:before="0"/>
              <w:keepNext/>
              <w:jc w:val="left"/>
            </w:pPr>
            <w:r>
              <w:rPr>
                <w:rFonts w:ascii="Times New Roman" w:hAnsi="Times New Roman" w:cs="Times New Roman"/>
                <w:color w:val="000000"/>
                <w:sz w:val="22"/>
                <w:szCs w:val="22"/>
                <w:lang w:val="en-US"/>
              </w:rPr>
              <w:t>Baseline (A)</w:t>
            </w:r>
          </w:p>
        </w:tc>
        <w:tc>
          <w:tcPr>
            <w:tcW w:w="18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0.93478</w:t>
            </w:r>
          </w:p>
        </w:tc>
        <w:tc>
          <w:tcPr>
            <w:tcW w:w="15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1.6480</w:t>
            </w:r>
          </w:p>
        </w:tc>
        <w:tc>
          <w:tcPr>
            <w:tcW w:w="17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c>
          <w:tcPr>
            <w:tcW w:w="166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r>
      <w:tr>
        <w:trPr>
          <w:cantSplit/>
        </w:trPr>
        <w:tc>
          <w:tcPr>
            <w:tcW w:w="700" w:type="dxa"/>
            <w:vAlign w:val="center"/>
            <w:vMerge w:val="continue"/>
          </w:tcPr>
          <w:p>
            <w:pPr>
              <w:pStyle w:val="Normal"/>
              <w:widowControl/>
              <w:spacing w:after="0" w:line="240" w:lineRule="auto" w:before="0"/>
              <w:jc w:val="center"/>
            </w:pPr>
            <w:r>
              <w:rPr>
                <w:rFonts w:ascii="Times New Roman" w:hAnsi="Times New Roman" w:cs="Times New Roman"/>
                <w:color w:val="000000"/>
                <w:sz w:val="22"/>
                <w:szCs w:val="22"/>
                <w:lang w:val="en-US"/>
              </w:rPr>
              <w:t/>
            </w:r>
          </w:p>
        </w:tc>
        <w:tc>
          <w:tcPr>
            <w:tcW w:w="2000" w:type="dxa"/>
            <w:vAlign w:val="center"/>
          </w:tcPr>
          <w:p>
            <w:pPr>
              <w:pStyle w:val="Normal"/>
              <w:widowControl/>
              <w:spacing w:after="0" w:line="240" w:lineRule="auto" w:before="0"/>
              <w:jc w:val="left"/>
            </w:pPr>
            <w:r>
              <w:rPr>
                <w:rFonts w:ascii="Times New Roman" w:hAnsi="Times New Roman" w:cs="Times New Roman"/>
                <w:color w:val="000000"/>
                <w:sz w:val="22"/>
                <w:szCs w:val="22"/>
                <w:lang w:val="en-US"/>
              </w:rPr>
              <w:t>Analogy (F)</w:t>
            </w:r>
          </w:p>
        </w:tc>
        <w:tc>
          <w:tcPr>
            <w:tcW w:w="18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0.91712</w:t>
            </w:r>
          </w:p>
        </w:tc>
        <w:tc>
          <w:tcPr>
            <w:tcW w:w="15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1.8755</w:t>
            </w:r>
          </w:p>
        </w:tc>
        <w:tc>
          <w:tcPr>
            <w:tcW w:w="17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−0.01766</w:t>
            </w:r>
          </w:p>
        </w:tc>
        <w:tc>
          <w:tcPr>
            <w:tcW w:w="166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+0.2274</w:t>
            </w:r>
          </w:p>
        </w:tc>
      </w:tr>
      <w:tr>
        <w:trPr>
          <w:cantSplit/>
        </w:trPr>
        <w:tc>
          <w:tcPr>
            <w:tcW w:w="700" w:type="dxa"/>
            <w:vAlign w:val="center"/>
            <w:vMerge w:val="restart"/>
          </w:tcPr>
          <w:p>
            <w:pPr>
              <w:pStyle w:val="Normal"/>
              <w:widowControl/>
              <w:spacing w:after="0" w:line="240" w:lineRule="auto" w:before="0"/>
              <w:keepNext/>
              <w:jc w:val="center"/>
            </w:pPr>
            <w:r>
              <w:rPr>
                <w:rFonts w:ascii="Times New Roman" w:hAnsi="Times New Roman" w:cs="Times New Roman"/>
                <w:color w:val="000000"/>
                <w:sz w:val="22"/>
                <w:szCs w:val="22"/>
                <w:lang w:val="en-US"/>
              </w:rPr>
              <w:t>S53</w:t>
            </w:r>
          </w:p>
        </w:tc>
        <w:tc>
          <w:tcPr>
            <w:tcW w:w="2000" w:type="dxa"/>
            <w:vAlign w:val="center"/>
          </w:tcPr>
          <w:p>
            <w:pPr>
              <w:pStyle w:val="Normal"/>
              <w:widowControl/>
              <w:spacing w:after="0" w:line="240" w:lineRule="auto" w:before="0"/>
              <w:keepNext/>
              <w:jc w:val="left"/>
            </w:pPr>
            <w:r>
              <w:rPr>
                <w:rFonts w:ascii="Times New Roman" w:hAnsi="Times New Roman" w:cs="Times New Roman"/>
                <w:color w:val="000000"/>
                <w:sz w:val="22"/>
                <w:szCs w:val="22"/>
                <w:lang w:val="en-US"/>
              </w:rPr>
              <w:t>Baseline (A)</w:t>
            </w:r>
          </w:p>
        </w:tc>
        <w:tc>
          <w:tcPr>
            <w:tcW w:w="18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0.75985</w:t>
            </w:r>
          </w:p>
        </w:tc>
        <w:tc>
          <w:tcPr>
            <w:tcW w:w="15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1.7787</w:t>
            </w:r>
          </w:p>
        </w:tc>
        <w:tc>
          <w:tcPr>
            <w:tcW w:w="17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c>
          <w:tcPr>
            <w:tcW w:w="166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r>
      <w:tr>
        <w:trPr>
          <w:cantSplit/>
        </w:trPr>
        <w:tc>
          <w:tcPr>
            <w:tcW w:w="700" w:type="dxa"/>
            <w:vAlign w:val="center"/>
            <w:vMerge w:val="continue"/>
          </w:tcPr>
          <w:p>
            <w:pPr>
              <w:pStyle w:val="Normal"/>
              <w:widowControl/>
              <w:spacing w:after="0" w:line="240" w:lineRule="auto" w:before="0"/>
              <w:jc w:val="center"/>
            </w:pPr>
            <w:r>
              <w:rPr>
                <w:rFonts w:ascii="Times New Roman" w:hAnsi="Times New Roman" w:cs="Times New Roman"/>
                <w:color w:val="000000"/>
                <w:sz w:val="22"/>
                <w:szCs w:val="22"/>
                <w:lang w:val="en-US"/>
              </w:rPr>
              <w:t/>
            </w:r>
          </w:p>
        </w:tc>
        <w:tc>
          <w:tcPr>
            <w:tcW w:w="2000" w:type="dxa"/>
            <w:vAlign w:val="center"/>
          </w:tcPr>
          <w:p>
            <w:pPr>
              <w:pStyle w:val="Normal"/>
              <w:widowControl/>
              <w:spacing w:after="0" w:line="240" w:lineRule="auto" w:before="0"/>
              <w:jc w:val="left"/>
            </w:pPr>
            <w:r>
              <w:rPr>
                <w:rFonts w:ascii="Times New Roman" w:hAnsi="Times New Roman" w:cs="Times New Roman"/>
                <w:color w:val="000000"/>
                <w:sz w:val="22"/>
                <w:szCs w:val="22"/>
                <w:lang w:val="en-US"/>
              </w:rPr>
              <w:t>Analogy (F)</w:t>
            </w:r>
          </w:p>
        </w:tc>
        <w:tc>
          <w:tcPr>
            <w:tcW w:w="18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0.79637</w:t>
            </w:r>
          </w:p>
        </w:tc>
        <w:tc>
          <w:tcPr>
            <w:tcW w:w="15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1.9593</w:t>
            </w:r>
          </w:p>
        </w:tc>
        <w:tc>
          <w:tcPr>
            <w:tcW w:w="17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+0.03652</w:t>
            </w:r>
          </w:p>
        </w:tc>
        <w:tc>
          <w:tcPr>
            <w:tcW w:w="166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+0.1806</w:t>
            </w:r>
          </w:p>
        </w:tc>
      </w:tr>
      <w:tr>
        <w:trPr>
          <w:cantSplit/>
        </w:trPr>
        <w:tc>
          <w:tcPr>
            <w:tcW w:w="700" w:type="dxa"/>
            <w:vAlign w:val="center"/>
            <w:vMerge w:val="restart"/>
          </w:tcPr>
          <w:p>
            <w:pPr>
              <w:pStyle w:val="Normal"/>
              <w:widowControl/>
              <w:spacing w:after="0" w:line="240" w:lineRule="auto" w:before="0"/>
              <w:keepNext/>
              <w:jc w:val="center"/>
            </w:pPr>
            <w:r>
              <w:rPr>
                <w:rFonts w:ascii="Times New Roman" w:hAnsi="Times New Roman" w:cs="Times New Roman"/>
                <w:color w:val="000000"/>
                <w:sz w:val="22"/>
                <w:szCs w:val="22"/>
                <w:lang w:val="en-US"/>
              </w:rPr>
              <w:t>S54</w:t>
            </w:r>
          </w:p>
        </w:tc>
        <w:tc>
          <w:tcPr>
            <w:tcW w:w="2000" w:type="dxa"/>
            <w:vAlign w:val="center"/>
          </w:tcPr>
          <w:p>
            <w:pPr>
              <w:pStyle w:val="Normal"/>
              <w:widowControl/>
              <w:spacing w:after="0" w:line="240" w:lineRule="auto" w:before="0"/>
              <w:keepNext/>
              <w:jc w:val="left"/>
            </w:pPr>
            <w:r>
              <w:rPr>
                <w:rFonts w:ascii="Times New Roman" w:hAnsi="Times New Roman" w:cs="Times New Roman"/>
                <w:color w:val="000000"/>
                <w:sz w:val="22"/>
                <w:szCs w:val="22"/>
                <w:lang w:val="en-US"/>
              </w:rPr>
              <w:t>Baseline (A)</w:t>
            </w:r>
          </w:p>
        </w:tc>
        <w:tc>
          <w:tcPr>
            <w:tcW w:w="18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0.93388</w:t>
            </w:r>
          </w:p>
        </w:tc>
        <w:tc>
          <w:tcPr>
            <w:tcW w:w="15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1.7917</w:t>
            </w:r>
          </w:p>
        </w:tc>
        <w:tc>
          <w:tcPr>
            <w:tcW w:w="17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c>
          <w:tcPr>
            <w:tcW w:w="166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r>
      <w:tr>
        <w:trPr>
          <w:cantSplit/>
        </w:trPr>
        <w:tc>
          <w:tcPr>
            <w:tcW w:w="700" w:type="dxa"/>
            <w:vAlign w:val="center"/>
            <w:vMerge w:val="continue"/>
          </w:tcPr>
          <w:p>
            <w:pPr>
              <w:pStyle w:val="Normal"/>
              <w:widowControl/>
              <w:spacing w:after="0" w:line="240" w:lineRule="auto" w:before="0"/>
              <w:jc w:val="center"/>
            </w:pPr>
            <w:r>
              <w:rPr>
                <w:rFonts w:ascii="Times New Roman" w:hAnsi="Times New Roman" w:cs="Times New Roman"/>
                <w:color w:val="000000"/>
                <w:sz w:val="22"/>
                <w:szCs w:val="22"/>
                <w:lang w:val="en-US"/>
              </w:rPr>
              <w:t/>
            </w:r>
          </w:p>
        </w:tc>
        <w:tc>
          <w:tcPr>
            <w:tcW w:w="2000" w:type="dxa"/>
            <w:vAlign w:val="center"/>
          </w:tcPr>
          <w:p>
            <w:pPr>
              <w:pStyle w:val="Normal"/>
              <w:widowControl/>
              <w:spacing w:after="0" w:line="240" w:lineRule="auto" w:before="0"/>
              <w:jc w:val="left"/>
            </w:pPr>
            <w:r>
              <w:rPr>
                <w:rFonts w:ascii="Times New Roman" w:hAnsi="Times New Roman" w:cs="Times New Roman"/>
                <w:color w:val="000000"/>
                <w:sz w:val="22"/>
                <w:szCs w:val="22"/>
                <w:lang w:val="en-US"/>
              </w:rPr>
              <w:t>Analogy (F)</w:t>
            </w:r>
          </w:p>
        </w:tc>
        <w:tc>
          <w:tcPr>
            <w:tcW w:w="18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0.92639</w:t>
            </w:r>
          </w:p>
        </w:tc>
        <w:tc>
          <w:tcPr>
            <w:tcW w:w="15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1.9281</w:t>
            </w:r>
          </w:p>
        </w:tc>
        <w:tc>
          <w:tcPr>
            <w:tcW w:w="17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−0.00749</w:t>
            </w:r>
          </w:p>
        </w:tc>
        <w:tc>
          <w:tcPr>
            <w:tcW w:w="166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+0.1364</w:t>
            </w:r>
          </w:p>
        </w:tc>
      </w:tr>
      <w:tr>
        <w:trPr>
          <w:cantSplit/>
        </w:trPr>
        <w:tc>
          <w:tcPr>
            <w:tcW w:w="700" w:type="dxa"/>
            <w:vAlign w:val="center"/>
            <w:vMerge w:val="restart"/>
          </w:tcPr>
          <w:p>
            <w:pPr>
              <w:pStyle w:val="Normal"/>
              <w:widowControl/>
              <w:spacing w:after="0" w:line="240" w:lineRule="auto" w:before="0"/>
              <w:keepNext/>
              <w:jc w:val="center"/>
            </w:pPr>
            <w:r>
              <w:rPr>
                <w:rFonts w:ascii="Times New Roman" w:hAnsi="Times New Roman" w:cs="Times New Roman"/>
                <w:color w:val="000000"/>
                <w:sz w:val="22"/>
                <w:szCs w:val="22"/>
                <w:lang w:val="en-US"/>
              </w:rPr>
              <w:t>S55</w:t>
            </w:r>
          </w:p>
        </w:tc>
        <w:tc>
          <w:tcPr>
            <w:tcW w:w="2000" w:type="dxa"/>
            <w:vAlign w:val="center"/>
          </w:tcPr>
          <w:p>
            <w:pPr>
              <w:pStyle w:val="Normal"/>
              <w:widowControl/>
              <w:spacing w:after="0" w:line="240" w:lineRule="auto" w:before="0"/>
              <w:keepNext/>
              <w:jc w:val="left"/>
            </w:pPr>
            <w:r>
              <w:rPr>
                <w:rFonts w:ascii="Times New Roman" w:hAnsi="Times New Roman" w:cs="Times New Roman"/>
                <w:color w:val="000000"/>
                <w:sz w:val="22"/>
                <w:szCs w:val="22"/>
                <w:lang w:val="en-US"/>
              </w:rPr>
              <w:t>Baseline (A)</w:t>
            </w:r>
          </w:p>
        </w:tc>
        <w:tc>
          <w:tcPr>
            <w:tcW w:w="18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0.92604</w:t>
            </w:r>
          </w:p>
        </w:tc>
        <w:tc>
          <w:tcPr>
            <w:tcW w:w="15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1.9331</w:t>
            </w:r>
          </w:p>
        </w:tc>
        <w:tc>
          <w:tcPr>
            <w:tcW w:w="17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c>
          <w:tcPr>
            <w:tcW w:w="166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r>
      <w:tr>
        <w:trPr>
          <w:cantSplit/>
        </w:trPr>
        <w:tc>
          <w:tcPr>
            <w:tcW w:w="700" w:type="dxa"/>
            <w:vAlign w:val="center"/>
            <w:vMerge w:val="continue"/>
          </w:tcPr>
          <w:p>
            <w:pPr>
              <w:pStyle w:val="Normal"/>
              <w:widowControl/>
              <w:spacing w:after="0" w:line="240" w:lineRule="auto" w:before="0"/>
              <w:jc w:val="center"/>
            </w:pPr>
            <w:r>
              <w:rPr>
                <w:rFonts w:ascii="Times New Roman" w:hAnsi="Times New Roman" w:cs="Times New Roman"/>
                <w:color w:val="000000"/>
                <w:sz w:val="22"/>
                <w:szCs w:val="22"/>
                <w:lang w:val="en-US"/>
              </w:rPr>
              <w:t/>
            </w:r>
          </w:p>
        </w:tc>
        <w:tc>
          <w:tcPr>
            <w:tcW w:w="2000" w:type="dxa"/>
            <w:vAlign w:val="center"/>
          </w:tcPr>
          <w:p>
            <w:pPr>
              <w:pStyle w:val="Normal"/>
              <w:widowControl/>
              <w:spacing w:after="0" w:line="240" w:lineRule="auto" w:before="0"/>
              <w:jc w:val="left"/>
            </w:pPr>
            <w:r>
              <w:rPr>
                <w:rFonts w:ascii="Times New Roman" w:hAnsi="Times New Roman" w:cs="Times New Roman"/>
                <w:color w:val="000000"/>
                <w:sz w:val="22"/>
                <w:szCs w:val="22"/>
                <w:lang w:val="en-US"/>
              </w:rPr>
              <w:t>Analogy (F)</w:t>
            </w:r>
          </w:p>
        </w:tc>
        <w:tc>
          <w:tcPr>
            <w:tcW w:w="18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0.92831</w:t>
            </w:r>
          </w:p>
        </w:tc>
        <w:tc>
          <w:tcPr>
            <w:tcW w:w="15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1.9671</w:t>
            </w:r>
          </w:p>
        </w:tc>
        <w:tc>
          <w:tcPr>
            <w:tcW w:w="17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+0.00227</w:t>
            </w:r>
          </w:p>
        </w:tc>
        <w:tc>
          <w:tcPr>
            <w:tcW w:w="166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+0.0340</w:t>
            </w:r>
          </w:p>
        </w:tc>
      </w:tr>
      <w:tr>
        <w:trPr>
          <w:cantSplit/>
        </w:trPr>
        <w:tc>
          <w:tcPr>
            <w:tcW w:w="700" w:type="dxa"/>
            <w:vAlign w:val="center"/>
            <w:vMerge w:val="restart"/>
          </w:tcPr>
          <w:p>
            <w:pPr>
              <w:pStyle w:val="Normal"/>
              <w:widowControl/>
              <w:spacing w:after="0" w:line="240" w:lineRule="auto" w:before="0"/>
              <w:keepNext/>
              <w:jc w:val="center"/>
            </w:pPr>
            <w:r>
              <w:rPr>
                <w:rFonts w:ascii="Times New Roman" w:hAnsi="Times New Roman" w:cs="Times New Roman"/>
                <w:color w:val="000000"/>
                <w:sz w:val="22"/>
                <w:szCs w:val="22"/>
                <w:lang w:val="en-US"/>
              </w:rPr>
              <w:t>S56</w:t>
            </w:r>
          </w:p>
        </w:tc>
        <w:tc>
          <w:tcPr>
            <w:tcW w:w="2000" w:type="dxa"/>
            <w:vAlign w:val="center"/>
          </w:tcPr>
          <w:p>
            <w:pPr>
              <w:pStyle w:val="Normal"/>
              <w:widowControl/>
              <w:spacing w:after="0" w:line="240" w:lineRule="auto" w:before="0"/>
              <w:keepNext/>
              <w:jc w:val="left"/>
            </w:pPr>
            <w:r>
              <w:rPr>
                <w:rFonts w:ascii="Times New Roman" w:hAnsi="Times New Roman" w:cs="Times New Roman"/>
                <w:color w:val="000000"/>
                <w:sz w:val="22"/>
                <w:szCs w:val="22"/>
                <w:lang w:val="en-US"/>
              </w:rPr>
              <w:t>Baseline (A)</w:t>
            </w:r>
          </w:p>
        </w:tc>
        <w:tc>
          <w:tcPr>
            <w:tcW w:w="18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0.92613</w:t>
            </w:r>
          </w:p>
        </w:tc>
        <w:tc>
          <w:tcPr>
            <w:tcW w:w="15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1.8549</w:t>
            </w:r>
          </w:p>
        </w:tc>
        <w:tc>
          <w:tcPr>
            <w:tcW w:w="17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c>
          <w:tcPr>
            <w:tcW w:w="166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r>
      <w:tr>
        <w:trPr>
          <w:cantSplit/>
        </w:trPr>
        <w:tc>
          <w:tcPr>
            <w:tcW w:w="700" w:type="dxa"/>
            <w:vAlign w:val="center"/>
            <w:vMerge w:val="continue"/>
          </w:tcPr>
          <w:p>
            <w:pPr>
              <w:pStyle w:val="Normal"/>
              <w:widowControl/>
              <w:spacing w:after="0" w:line="240" w:lineRule="auto" w:before="0"/>
              <w:jc w:val="center"/>
            </w:pPr>
            <w:r>
              <w:rPr>
                <w:rFonts w:ascii="Times New Roman" w:hAnsi="Times New Roman" w:cs="Times New Roman"/>
                <w:color w:val="000000"/>
                <w:sz w:val="22"/>
                <w:szCs w:val="22"/>
                <w:lang w:val="en-US"/>
              </w:rPr>
              <w:t/>
            </w:r>
          </w:p>
        </w:tc>
        <w:tc>
          <w:tcPr>
            <w:tcW w:w="2000" w:type="dxa"/>
            <w:vAlign w:val="center"/>
          </w:tcPr>
          <w:p>
            <w:pPr>
              <w:pStyle w:val="Normal"/>
              <w:widowControl/>
              <w:spacing w:after="0" w:line="240" w:lineRule="auto" w:before="0"/>
              <w:jc w:val="left"/>
            </w:pPr>
            <w:r>
              <w:rPr>
                <w:rFonts w:ascii="Times New Roman" w:hAnsi="Times New Roman" w:cs="Times New Roman"/>
                <w:color w:val="000000"/>
                <w:sz w:val="22"/>
                <w:szCs w:val="22"/>
                <w:lang w:val="en-US"/>
              </w:rPr>
              <w:t>Analogy (F)</w:t>
            </w:r>
          </w:p>
        </w:tc>
        <w:tc>
          <w:tcPr>
            <w:tcW w:w="18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0.92545</w:t>
            </w:r>
          </w:p>
        </w:tc>
        <w:tc>
          <w:tcPr>
            <w:tcW w:w="15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1.8753</w:t>
            </w:r>
          </w:p>
        </w:tc>
        <w:tc>
          <w:tcPr>
            <w:tcW w:w="17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−0.00068</w:t>
            </w:r>
          </w:p>
        </w:tc>
        <w:tc>
          <w:tcPr>
            <w:tcW w:w="166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+0.0204</w:t>
            </w:r>
          </w:p>
        </w:tc>
      </w:tr>
      <w:tr>
        <w:trPr>
          <w:cantSplit/>
        </w:trPr>
        <w:tc>
          <w:tcPr>
            <w:tcW w:w="700" w:type="dxa"/>
            <w:vAlign w:val="center"/>
            <w:vMerge w:val="restart"/>
          </w:tcPr>
          <w:p>
            <w:pPr>
              <w:pStyle w:val="Normal"/>
              <w:widowControl/>
              <w:spacing w:after="0" w:line="240" w:lineRule="auto" w:before="0"/>
              <w:keepNext/>
              <w:jc w:val="center"/>
            </w:pPr>
            <w:r>
              <w:rPr>
                <w:rFonts w:ascii="Times New Roman" w:hAnsi="Times New Roman" w:cs="Times New Roman"/>
                <w:color w:val="000000"/>
                <w:sz w:val="22"/>
                <w:szCs w:val="22"/>
                <w:lang w:val="en-US"/>
              </w:rPr>
              <w:t>S58</w:t>
            </w:r>
          </w:p>
        </w:tc>
        <w:tc>
          <w:tcPr>
            <w:tcW w:w="2000" w:type="dxa"/>
            <w:vAlign w:val="center"/>
          </w:tcPr>
          <w:p>
            <w:pPr>
              <w:pStyle w:val="Normal"/>
              <w:widowControl/>
              <w:spacing w:after="0" w:line="240" w:lineRule="auto" w:before="0"/>
              <w:keepNext/>
              <w:jc w:val="left"/>
            </w:pPr>
            <w:r>
              <w:rPr>
                <w:rFonts w:ascii="Times New Roman" w:hAnsi="Times New Roman" w:cs="Times New Roman"/>
                <w:color w:val="000000"/>
                <w:sz w:val="22"/>
                <w:szCs w:val="22"/>
                <w:lang w:val="en-US"/>
              </w:rPr>
              <w:t>Baseline (A)</w:t>
            </w:r>
          </w:p>
        </w:tc>
        <w:tc>
          <w:tcPr>
            <w:tcW w:w="18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0.92028</w:t>
            </w:r>
          </w:p>
        </w:tc>
        <w:tc>
          <w:tcPr>
            <w:tcW w:w="15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1.9935</w:t>
            </w:r>
          </w:p>
        </w:tc>
        <w:tc>
          <w:tcPr>
            <w:tcW w:w="17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c>
          <w:tcPr>
            <w:tcW w:w="166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r>
      <w:tr>
        <w:trPr>
          <w:cantSplit/>
        </w:trPr>
        <w:tc>
          <w:tcPr>
            <w:tcW w:w="700" w:type="dxa"/>
            <w:vAlign w:val="center"/>
            <w:vMerge w:val="continue"/>
          </w:tcPr>
          <w:p>
            <w:pPr>
              <w:pStyle w:val="Normal"/>
              <w:widowControl/>
              <w:spacing w:after="0" w:line="240" w:lineRule="auto" w:before="0"/>
              <w:jc w:val="center"/>
            </w:pPr>
            <w:r>
              <w:rPr>
                <w:rFonts w:ascii="Times New Roman" w:hAnsi="Times New Roman" w:cs="Times New Roman"/>
                <w:color w:val="000000"/>
                <w:sz w:val="22"/>
                <w:szCs w:val="22"/>
                <w:lang w:val="en-US"/>
              </w:rPr>
              <w:t/>
            </w:r>
          </w:p>
        </w:tc>
        <w:tc>
          <w:tcPr>
            <w:tcW w:w="2000" w:type="dxa"/>
            <w:vAlign w:val="center"/>
          </w:tcPr>
          <w:p>
            <w:pPr>
              <w:pStyle w:val="Normal"/>
              <w:widowControl/>
              <w:spacing w:after="0" w:line="240" w:lineRule="auto" w:before="0"/>
              <w:jc w:val="left"/>
            </w:pPr>
            <w:r>
              <w:rPr>
                <w:rFonts w:ascii="Times New Roman" w:hAnsi="Times New Roman" w:cs="Times New Roman"/>
                <w:color w:val="000000"/>
                <w:sz w:val="22"/>
                <w:szCs w:val="22"/>
                <w:lang w:val="en-US"/>
              </w:rPr>
              <w:t>Analogy (F)</w:t>
            </w:r>
          </w:p>
        </w:tc>
        <w:tc>
          <w:tcPr>
            <w:tcW w:w="18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0.92938</w:t>
            </w:r>
          </w:p>
        </w:tc>
        <w:tc>
          <w:tcPr>
            <w:tcW w:w="15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1.9816</w:t>
            </w:r>
          </w:p>
        </w:tc>
        <w:tc>
          <w:tcPr>
            <w:tcW w:w="17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+0.00910</w:t>
            </w:r>
          </w:p>
        </w:tc>
        <w:tc>
          <w:tcPr>
            <w:tcW w:w="166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−0.0119</w:t>
            </w:r>
          </w:p>
        </w:tc>
      </w:tr>
      <w:tr>
        <w:trPr>
          <w:cantSplit/>
        </w:trPr>
        <w:tc>
          <w:tcPr>
            <w:tcW w:w="700" w:type="dxa"/>
            <w:vAlign w:val="center"/>
            <w:vMerge w:val="restart"/>
          </w:tcPr>
          <w:p>
            <w:pPr>
              <w:pStyle w:val="Normal"/>
              <w:widowControl/>
              <w:spacing w:after="0" w:line="240" w:lineRule="auto" w:before="0"/>
              <w:keepNext/>
              <w:jc w:val="center"/>
            </w:pPr>
            <w:r>
              <w:rPr>
                <w:rFonts w:ascii="Times New Roman" w:hAnsi="Times New Roman" w:cs="Times New Roman"/>
                <w:color w:val="000000"/>
                <w:sz w:val="22"/>
                <w:szCs w:val="22"/>
                <w:lang w:val="en-US"/>
              </w:rPr>
              <w:t>S59</w:t>
            </w:r>
          </w:p>
        </w:tc>
        <w:tc>
          <w:tcPr>
            <w:tcW w:w="2000" w:type="dxa"/>
            <w:vAlign w:val="center"/>
          </w:tcPr>
          <w:p>
            <w:pPr>
              <w:pStyle w:val="Normal"/>
              <w:widowControl/>
              <w:spacing w:after="0" w:line="240" w:lineRule="auto" w:before="0"/>
              <w:keepNext/>
              <w:jc w:val="left"/>
            </w:pPr>
            <w:r>
              <w:rPr>
                <w:rFonts w:ascii="Times New Roman" w:hAnsi="Times New Roman" w:cs="Times New Roman"/>
                <w:color w:val="000000"/>
                <w:sz w:val="22"/>
                <w:szCs w:val="22"/>
                <w:lang w:val="en-US"/>
              </w:rPr>
              <w:t>Baseline (A)</w:t>
            </w:r>
          </w:p>
        </w:tc>
        <w:tc>
          <w:tcPr>
            <w:tcW w:w="18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0.91606</w:t>
            </w:r>
          </w:p>
        </w:tc>
        <w:tc>
          <w:tcPr>
            <w:tcW w:w="15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1.9628</w:t>
            </w:r>
          </w:p>
        </w:tc>
        <w:tc>
          <w:tcPr>
            <w:tcW w:w="17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c>
          <w:tcPr>
            <w:tcW w:w="166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r>
      <w:tr>
        <w:trPr>
          <w:cantSplit/>
        </w:trPr>
        <w:tc>
          <w:tcPr>
            <w:tcW w:w="700" w:type="dxa"/>
            <w:vAlign w:val="center"/>
            <w:vMerge w:val="continue"/>
          </w:tcPr>
          <w:p>
            <w:pPr>
              <w:pStyle w:val="Normal"/>
              <w:widowControl/>
              <w:spacing w:after="0" w:line="240" w:lineRule="auto" w:before="0"/>
              <w:jc w:val="center"/>
            </w:pPr>
            <w:r>
              <w:rPr>
                <w:rFonts w:ascii="Times New Roman" w:hAnsi="Times New Roman" w:cs="Times New Roman"/>
                <w:color w:val="000000"/>
                <w:sz w:val="22"/>
                <w:szCs w:val="22"/>
                <w:lang w:val="en-US"/>
              </w:rPr>
              <w:t/>
            </w:r>
          </w:p>
        </w:tc>
        <w:tc>
          <w:tcPr>
            <w:tcW w:w="2000" w:type="dxa"/>
            <w:vAlign w:val="center"/>
          </w:tcPr>
          <w:p>
            <w:pPr>
              <w:pStyle w:val="Normal"/>
              <w:widowControl/>
              <w:spacing w:after="0" w:line="240" w:lineRule="auto" w:before="0"/>
              <w:jc w:val="left"/>
            </w:pPr>
            <w:r>
              <w:rPr>
                <w:rFonts w:ascii="Times New Roman" w:hAnsi="Times New Roman" w:cs="Times New Roman"/>
                <w:color w:val="000000"/>
                <w:sz w:val="22"/>
                <w:szCs w:val="22"/>
                <w:lang w:val="en-US"/>
              </w:rPr>
              <w:t>Analogy (F)</w:t>
            </w:r>
          </w:p>
        </w:tc>
        <w:tc>
          <w:tcPr>
            <w:tcW w:w="18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0.92644</w:t>
            </w:r>
          </w:p>
        </w:tc>
        <w:tc>
          <w:tcPr>
            <w:tcW w:w="15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2.0460</w:t>
            </w:r>
          </w:p>
        </w:tc>
        <w:tc>
          <w:tcPr>
            <w:tcW w:w="17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+0.01038</w:t>
            </w:r>
          </w:p>
        </w:tc>
        <w:tc>
          <w:tcPr>
            <w:tcW w:w="166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+0.0832</w:t>
            </w:r>
          </w:p>
        </w:tc>
      </w:tr>
      <w:tr>
        <w:trPr>
          <w:cantSplit/>
        </w:trPr>
        <w:tc>
          <w:tcPr>
            <w:tcW w:w="700" w:type="dxa"/>
            <w:vAlign w:val="center"/>
            <w:vMerge w:val="restart"/>
          </w:tcPr>
          <w:p>
            <w:pPr>
              <w:pStyle w:val="Normal"/>
              <w:widowControl/>
              <w:spacing w:after="0" w:line="240" w:lineRule="auto" w:before="0"/>
              <w:keepNext/>
              <w:jc w:val="center"/>
            </w:pPr>
            <w:r>
              <w:rPr>
                <w:rFonts w:ascii="Times New Roman" w:hAnsi="Times New Roman" w:cs="Times New Roman"/>
                <w:color w:val="000000"/>
                <w:sz w:val="22"/>
                <w:szCs w:val="22"/>
                <w:lang w:val="en-US"/>
              </w:rPr>
              <w:t>S61</w:t>
            </w:r>
          </w:p>
        </w:tc>
        <w:tc>
          <w:tcPr>
            <w:tcW w:w="2000" w:type="dxa"/>
            <w:vAlign w:val="center"/>
          </w:tcPr>
          <w:p>
            <w:pPr>
              <w:pStyle w:val="Normal"/>
              <w:widowControl/>
              <w:spacing w:after="0" w:line="240" w:lineRule="auto" w:before="0"/>
              <w:keepNext/>
              <w:jc w:val="left"/>
            </w:pPr>
            <w:r>
              <w:rPr>
                <w:rFonts w:ascii="Times New Roman" w:hAnsi="Times New Roman" w:cs="Times New Roman"/>
                <w:color w:val="000000"/>
                <w:sz w:val="22"/>
                <w:szCs w:val="22"/>
                <w:lang w:val="en-US"/>
              </w:rPr>
              <w:t>Baseline (A)</w:t>
            </w:r>
          </w:p>
        </w:tc>
        <w:tc>
          <w:tcPr>
            <w:tcW w:w="18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0.93073</w:t>
            </w:r>
          </w:p>
        </w:tc>
        <w:tc>
          <w:tcPr>
            <w:tcW w:w="15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2.0925</w:t>
            </w:r>
          </w:p>
        </w:tc>
        <w:tc>
          <w:tcPr>
            <w:tcW w:w="17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c>
          <w:tcPr>
            <w:tcW w:w="166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r>
      <w:tr>
        <w:trPr>
          <w:cantSplit/>
        </w:trPr>
        <w:tc>
          <w:tcPr>
            <w:tcW w:w="700" w:type="dxa"/>
            <w:vAlign w:val="center"/>
            <w:vMerge w:val="continue"/>
          </w:tcPr>
          <w:p>
            <w:pPr>
              <w:pStyle w:val="Normal"/>
              <w:widowControl/>
              <w:spacing w:after="0" w:line="240" w:lineRule="auto" w:before="0"/>
              <w:jc w:val="center"/>
            </w:pPr>
            <w:r>
              <w:rPr>
                <w:rFonts w:ascii="Times New Roman" w:hAnsi="Times New Roman" w:cs="Times New Roman"/>
                <w:color w:val="000000"/>
                <w:sz w:val="22"/>
                <w:szCs w:val="22"/>
                <w:lang w:val="en-US"/>
              </w:rPr>
              <w:t/>
            </w:r>
          </w:p>
        </w:tc>
        <w:tc>
          <w:tcPr>
            <w:tcW w:w="2000" w:type="dxa"/>
            <w:vAlign w:val="center"/>
          </w:tcPr>
          <w:p>
            <w:pPr>
              <w:pStyle w:val="Normal"/>
              <w:widowControl/>
              <w:spacing w:after="0" w:line="240" w:lineRule="auto" w:before="0"/>
              <w:jc w:val="left"/>
            </w:pPr>
            <w:r>
              <w:rPr>
                <w:rFonts w:ascii="Times New Roman" w:hAnsi="Times New Roman" w:cs="Times New Roman"/>
                <w:color w:val="000000"/>
                <w:sz w:val="22"/>
                <w:szCs w:val="22"/>
                <w:lang w:val="en-US"/>
              </w:rPr>
              <w:t>Analogy (F)</w:t>
            </w:r>
          </w:p>
        </w:tc>
        <w:tc>
          <w:tcPr>
            <w:tcW w:w="18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0.90872</w:t>
            </w:r>
          </w:p>
        </w:tc>
        <w:tc>
          <w:tcPr>
            <w:tcW w:w="15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2.0114</w:t>
            </w:r>
          </w:p>
        </w:tc>
        <w:tc>
          <w:tcPr>
            <w:tcW w:w="17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−0.02201</w:t>
            </w:r>
          </w:p>
        </w:tc>
        <w:tc>
          <w:tcPr>
            <w:tcW w:w="166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−0.0811</w:t>
            </w:r>
          </w:p>
        </w:tc>
      </w:tr>
      <w:tr>
        <w:trPr>
          <w:cantSplit/>
        </w:trPr>
        <w:tc>
          <w:tcPr>
            <w:tcW w:w="700" w:type="dxa"/>
            <w:vAlign w:val="center"/>
            <w:vMerge w:val="restart"/>
          </w:tcPr>
          <w:p>
            <w:pPr>
              <w:pStyle w:val="Normal"/>
              <w:widowControl/>
              <w:spacing w:after="0" w:line="240" w:lineRule="auto" w:before="0"/>
              <w:keepNext/>
              <w:jc w:val="center"/>
            </w:pPr>
            <w:r>
              <w:rPr>
                <w:rFonts w:ascii="Times New Roman" w:hAnsi="Times New Roman" w:cs="Times New Roman"/>
                <w:color w:val="000000"/>
                <w:sz w:val="22"/>
                <w:szCs w:val="22"/>
                <w:lang w:val="en-US"/>
              </w:rPr>
              <w:t>S62</w:t>
            </w:r>
          </w:p>
        </w:tc>
        <w:tc>
          <w:tcPr>
            <w:tcW w:w="2000" w:type="dxa"/>
            <w:vAlign w:val="center"/>
          </w:tcPr>
          <w:p>
            <w:pPr>
              <w:pStyle w:val="Normal"/>
              <w:widowControl/>
              <w:spacing w:after="0" w:line="240" w:lineRule="auto" w:before="0"/>
              <w:keepNext/>
              <w:jc w:val="left"/>
            </w:pPr>
            <w:r>
              <w:rPr>
                <w:rFonts w:ascii="Times New Roman" w:hAnsi="Times New Roman" w:cs="Times New Roman"/>
                <w:color w:val="000000"/>
                <w:sz w:val="22"/>
                <w:szCs w:val="22"/>
                <w:lang w:val="en-US"/>
              </w:rPr>
              <w:t>Baseline (A)</w:t>
            </w:r>
          </w:p>
        </w:tc>
        <w:tc>
          <w:tcPr>
            <w:tcW w:w="18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0.92186</w:t>
            </w:r>
          </w:p>
        </w:tc>
        <w:tc>
          <w:tcPr>
            <w:tcW w:w="15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2.0190</w:t>
            </w:r>
          </w:p>
        </w:tc>
        <w:tc>
          <w:tcPr>
            <w:tcW w:w="17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c>
          <w:tcPr>
            <w:tcW w:w="166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r>
      <w:tr>
        <w:trPr>
          <w:cantSplit/>
        </w:trPr>
        <w:tc>
          <w:tcPr>
            <w:tcW w:w="700" w:type="dxa"/>
            <w:vAlign w:val="center"/>
            <w:vMerge w:val="continue"/>
          </w:tcPr>
          <w:p>
            <w:pPr>
              <w:pStyle w:val="Normal"/>
              <w:widowControl/>
              <w:spacing w:after="0" w:line="240" w:lineRule="auto" w:before="0"/>
              <w:jc w:val="center"/>
            </w:pPr>
            <w:r>
              <w:rPr>
                <w:rFonts w:ascii="Times New Roman" w:hAnsi="Times New Roman" w:cs="Times New Roman"/>
                <w:color w:val="000000"/>
                <w:sz w:val="22"/>
                <w:szCs w:val="22"/>
                <w:lang w:val="en-US"/>
              </w:rPr>
              <w:t/>
            </w:r>
          </w:p>
        </w:tc>
        <w:tc>
          <w:tcPr>
            <w:tcW w:w="2000" w:type="dxa"/>
            <w:vAlign w:val="center"/>
          </w:tcPr>
          <w:p>
            <w:pPr>
              <w:pStyle w:val="Normal"/>
              <w:widowControl/>
              <w:spacing w:after="0" w:line="240" w:lineRule="auto" w:before="0"/>
              <w:jc w:val="left"/>
            </w:pPr>
            <w:r>
              <w:rPr>
                <w:rFonts w:ascii="Times New Roman" w:hAnsi="Times New Roman" w:cs="Times New Roman"/>
                <w:color w:val="000000"/>
                <w:sz w:val="22"/>
                <w:szCs w:val="22"/>
                <w:lang w:val="en-US"/>
              </w:rPr>
              <w:t>Analogy (F)</w:t>
            </w:r>
          </w:p>
        </w:tc>
        <w:tc>
          <w:tcPr>
            <w:tcW w:w="18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0.93360</w:t>
            </w:r>
          </w:p>
        </w:tc>
        <w:tc>
          <w:tcPr>
            <w:tcW w:w="15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2.1290</w:t>
            </w:r>
          </w:p>
        </w:tc>
        <w:tc>
          <w:tcPr>
            <w:tcW w:w="17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+0.01174</w:t>
            </w:r>
          </w:p>
        </w:tc>
        <w:tc>
          <w:tcPr>
            <w:tcW w:w="166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+0.1099</w:t>
            </w:r>
          </w:p>
        </w:tc>
      </w:tr>
    </w:tbl>
    <w:p>
      <w:pPr>
        <w:pStyle w:val="Normal"/>
        <w:widowControl/>
        <w:spacing w:after="160" w:line="278" w:lineRule="auto" w:before="100"/>
      </w:pPr>
      <w:r>
        <w:rPr>
          <w:rFonts w:ascii="Times New Roman" w:hAnsi="Times New Roman" w:cs="Times New Roman"/>
          <w:color w:val="000000"/>
          <w:sz w:val="22"/>
          <w:szCs w:val="22"/>
          <w:lang w:val="en-US"/>
        </w:rPr>
        <w:t>Final scores use corrected private-test evaluation of capped K = 1 submissions. Vendi averages code-summary diversity over subsets of m = 6 candidates per run, including failed or pending candidates with available code. Positive deltas indicate higher scores or greater diversity. Deltas are analogy minus baseline, calculated before rounding.</w:t>
      </w:r>
    </w:p>
    <w:p>
      <w:pPr>
        <w:pStyle w:val="Normal"/>
        <w:widowControl/>
        <w:spacing w:after="160" w:line="278" w:lineRule="auto" w:before="0"/>
      </w:pPr>
      <w:r>
        <w:rPr>
          <w:rFonts w:ascii="Times New Roman" w:hAnsi="Times New Roman" w:cs="Times New Roman"/>
          <w:color w:val="000000"/>
          <w:sz w:val="24"/>
          <w:szCs w:val="24"/>
          <w:lang w:val="en-US"/>
        </w:rPr>
        <w:t>Analogy has higher private-test scores in five of nine pairs and higher Vendi in seven. The changes do not consistently coincide: S52, S54, and S56 show higher diversity but lower scores, whereas S58 shows the reverse. Results therefore vary across pairs.</w:t>
      </w:r>
    </w:p>
    <w:p w14:paraId="7C6A843D" w14:textId="7AC82227" w:rsidR="00D70506" w:rsidRPr="009B5368" w:rsidRDefault="00D70506" w:rsidP="00D70506">
      <w:pPr>
        <w:keepNext/>
        <w:pStyle w:val="ListParagraph"/>
        <w:numPr>
          <w:ilvl w:val="1"/>
          <w:numId w:val="4"/>
        </w:numPr>
        <w:rPr>
          <w:rFonts w:ascii="Times New Roman" w:hAnsi="Times New Roman" w:cs="Times New Roman"/>
          <w:b/>
          <w:color w:val="000000"/>
        </w:rPr>
      </w:pPr>
      <w:r>
        <w:rPr>
          <w:rFonts w:ascii="Times New Roman" w:hAnsi="Times New Roman" w:cs="Times New Roman"/>
          <w:b/>
          <w:color w:val="000000"/>
        </w:rPr>
        <w:t>Autoresearch</w:t>
      </w:r>
    </w:p>
    <w:p>
      <w:pPr>
        <w:pStyle w:val="Normal"/>
        <w:widowControl/>
        <w:spacing w:after="160" w:line="278" w:lineRule="auto" w:before="0"/>
      </w:pPr>
      <w:r>
        <w:rPr>
          <w:rFonts w:ascii="Times New Roman" w:hAnsi="Times New Roman" w:cs="Times New Roman"/>
          <w:color w:val="000000"/>
          <w:sz w:val="24"/>
          <w:szCs w:val="24"/>
          <w:lang w:val="en-US"/>
        </w:rPr>
        <w:t>Table 3 reports six autoresearch pairs using the best verified validation composite AUC within each run. Vendi is averaged over subsets of seven candidates.</w:t>
      </w:r>
    </w:p>
    <w:p>
      <w:pPr>
        <w:pStyle w:val="Normal"/>
        <w:widowControl/>
        <w:spacing w:after="100" w:line="278" w:lineRule="auto" w:before="0"/>
        <w:keepNext/>
      </w:pPr>
      <w:r>
        <w:rPr>
          <w:rFonts w:ascii="Times New Roman" w:hAnsi="Times New Roman" w:cs="Times New Roman"/>
          <w:color w:val="000000"/>
          <w:sz w:val="22"/>
          <w:szCs w:val="22"/>
          <w:lang w:val="en-US"/>
          <w:b/>
        </w:rPr>
        <w:t>Table 3. Paired autoresearch results on Jigsaw Unintended Bias.</w:t>
      </w:r>
    </w:p>
    <w:tbl>
      <w:tblPr>
        <w:tblW w:w="9360"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0" w:type="dxa"/>
          <w:right w:w="80" w:type="dxa"/>
        </w:tblCellMar>
      </w:tblPr>
      <w:tblGrid>
        <w:gridCol w:w="700"/>
        <w:gridCol w:w="2000"/>
        <w:gridCol w:w="1800"/>
        <w:gridCol w:w="1500"/>
        <w:gridCol w:w="1700"/>
        <w:gridCol w:w="1660"/>
      </w:tblGrid>
      <w:tr>
        <w:trPr>
          <w:cantSplit/>
          <w:tblHeader/>
        </w:trPr>
        <w:tc>
          <w:tcPr>
            <w:tcW w:w="700" w:type="dxa"/>
            <w:vAlign w:val="center"/>
            <w:shd w:val="clear" w:color="auto" w:fill="EDEDED"/>
          </w:tcPr>
          <w:p>
            <w:pPr>
              <w:pStyle w:val="Normal"/>
              <w:widowControl/>
              <w:spacing w:after="0" w:line="240" w:lineRule="auto" w:before="0"/>
              <w:jc w:val="center"/>
            </w:pPr>
            <w:r>
              <w:rPr>
                <w:rFonts w:ascii="Times New Roman" w:hAnsi="Times New Roman" w:cs="Times New Roman"/>
                <w:color w:val="000000"/>
                <w:sz w:val="22"/>
                <w:szCs w:val="22"/>
                <w:lang w:val="en-US"/>
                <w:b/>
              </w:rPr>
              <w:t>Pair</w:t>
            </w:r>
          </w:p>
        </w:tc>
        <w:tc>
          <w:tcPr>
            <w:tcW w:w="2000" w:type="dxa"/>
            <w:vAlign w:val="center"/>
            <w:shd w:val="clear" w:color="auto" w:fill="EDEDED"/>
          </w:tcPr>
          <w:p>
            <w:pPr>
              <w:pStyle w:val="Normal"/>
              <w:widowControl/>
              <w:spacing w:after="0" w:line="240" w:lineRule="auto" w:before="0"/>
              <w:jc w:val="left"/>
            </w:pPr>
            <w:r>
              <w:rPr>
                <w:rFonts w:ascii="Times New Roman" w:hAnsi="Times New Roman" w:cs="Times New Roman"/>
                <w:color w:val="000000"/>
                <w:sz w:val="22"/>
                <w:szCs w:val="22"/>
                <w:lang w:val="en-US"/>
                <w:b/>
              </w:rPr>
              <w:t>Method</w:t>
            </w:r>
          </w:p>
        </w:tc>
        <w:tc>
          <w:tcPr>
            <w:tcW w:w="1800" w:type="dxa"/>
            <w:vAlign w:val="center"/>
            <w:shd w:val="clear" w:color="auto" w:fill="EDEDED"/>
          </w:tcPr>
          <w:p>
            <w:pPr>
              <w:pStyle w:val="Normal"/>
              <w:widowControl/>
              <w:spacing w:after="0" w:line="240" w:lineRule="auto" w:before="0"/>
              <w:jc w:val="center"/>
            </w:pPr>
            <w:r>
              <w:rPr>
                <w:rFonts w:ascii="Times New Roman" w:hAnsi="Times New Roman" w:cs="Times New Roman"/>
                <w:color w:val="000000"/>
                <w:sz w:val="22"/>
                <w:szCs w:val="22"/>
                <w:lang w:val="en-US"/>
                <w:b/>
              </w:rPr>
              <w:t>Final score</w:t>
            </w:r>
          </w:p>
        </w:tc>
        <w:tc>
          <w:tcPr>
            <w:tcW w:w="1500" w:type="dxa"/>
            <w:vAlign w:val="center"/>
            <w:shd w:val="clear" w:color="auto" w:fill="EDEDED"/>
          </w:tcPr>
          <w:p>
            <w:pPr>
              <w:pStyle w:val="Normal"/>
              <w:widowControl/>
              <w:spacing w:after="0" w:line="240" w:lineRule="auto" w:before="0"/>
              <w:jc w:val="center"/>
            </w:pPr>
            <w:r>
              <w:rPr>
                <w:rFonts w:ascii="Times New Roman" w:hAnsi="Times New Roman" w:cs="Times New Roman"/>
                <w:color w:val="000000"/>
                <w:sz w:val="22"/>
                <w:szCs w:val="22"/>
                <w:lang w:val="en-US"/>
                <w:b/>
              </w:rPr>
              <w:t>Vendi</w:t>
            </w:r>
          </w:p>
        </w:tc>
        <w:tc>
          <w:tcPr>
            <w:tcW w:w="1700" w:type="dxa"/>
            <w:vAlign w:val="center"/>
            <w:shd w:val="clear" w:color="auto" w:fill="EDEDED"/>
          </w:tcPr>
          <w:p>
            <w:pPr>
              <w:pStyle w:val="Normal"/>
              <w:widowControl/>
              <w:spacing w:after="0" w:line="240" w:lineRule="auto" w:before="0"/>
              <w:jc w:val="center"/>
            </w:pPr>
            <w:r>
              <w:rPr>
                <w:rFonts w:ascii="Times New Roman" w:hAnsi="Times New Roman" w:cs="Times New Roman"/>
                <w:color w:val="000000"/>
                <w:sz w:val="22"/>
                <w:szCs w:val="22"/>
                <w:lang w:val="en-US"/>
                <w:b/>
              </w:rPr>
              <w:t>Δ Score</w:t>
            </w:r>
          </w:p>
        </w:tc>
        <w:tc>
          <w:tcPr>
            <w:tcW w:w="1660" w:type="dxa"/>
            <w:vAlign w:val="center"/>
            <w:shd w:val="clear" w:color="auto" w:fill="EDEDED"/>
          </w:tcPr>
          <w:p>
            <w:pPr>
              <w:pStyle w:val="Normal"/>
              <w:widowControl/>
              <w:spacing w:after="0" w:line="240" w:lineRule="auto" w:before="0"/>
              <w:jc w:val="center"/>
            </w:pPr>
            <w:r>
              <w:rPr>
                <w:rFonts w:ascii="Times New Roman" w:hAnsi="Times New Roman" w:cs="Times New Roman"/>
                <w:color w:val="000000"/>
                <w:sz w:val="22"/>
                <w:szCs w:val="22"/>
                <w:lang w:val="en-US"/>
                <w:b/>
              </w:rPr>
              <w:t>Δ Vendi</w:t>
            </w:r>
          </w:p>
        </w:tc>
      </w:tr>
      <w:tr>
        <w:trPr>
          <w:cantSplit/>
        </w:trPr>
        <w:tc>
          <w:tcPr>
            <w:tcW w:w="700" w:type="dxa"/>
            <w:vAlign w:val="center"/>
            <w:vMerge w:val="restart"/>
          </w:tcPr>
          <w:p>
            <w:pPr>
              <w:pStyle w:val="Normal"/>
              <w:widowControl/>
              <w:spacing w:after="0" w:line="240" w:lineRule="auto" w:before="0"/>
              <w:keepNext/>
              <w:jc w:val="center"/>
            </w:pPr>
            <w:r>
              <w:rPr>
                <w:rFonts w:ascii="Times New Roman" w:hAnsi="Times New Roman" w:cs="Times New Roman"/>
                <w:color w:val="000000"/>
                <w:sz w:val="22"/>
                <w:szCs w:val="22"/>
                <w:lang w:val="en-US"/>
              </w:rPr>
              <w:t>001</w:t>
            </w:r>
          </w:p>
        </w:tc>
        <w:tc>
          <w:tcPr>
            <w:tcW w:w="2000" w:type="dxa"/>
            <w:vAlign w:val="center"/>
          </w:tcPr>
          <w:p>
            <w:pPr>
              <w:pStyle w:val="Normal"/>
              <w:widowControl/>
              <w:spacing w:after="0" w:line="240" w:lineRule="auto" w:before="0"/>
              <w:keepNext/>
              <w:jc w:val="left"/>
            </w:pPr>
            <w:r>
              <w:rPr>
                <w:rFonts w:ascii="Times New Roman" w:hAnsi="Times New Roman" w:cs="Times New Roman"/>
                <w:color w:val="000000"/>
                <w:sz w:val="22"/>
                <w:szCs w:val="22"/>
                <w:lang w:val="en-US"/>
              </w:rPr>
              <w:t>Baseline</w:t>
            </w:r>
          </w:p>
        </w:tc>
        <w:tc>
          <w:tcPr>
            <w:tcW w:w="18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0.936013</w:t>
            </w:r>
          </w:p>
        </w:tc>
        <w:tc>
          <w:tcPr>
            <w:tcW w:w="15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1.6083</w:t>
            </w:r>
          </w:p>
        </w:tc>
        <w:tc>
          <w:tcPr>
            <w:tcW w:w="17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c>
          <w:tcPr>
            <w:tcW w:w="166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r>
      <w:tr>
        <w:trPr>
          <w:cantSplit/>
        </w:trPr>
        <w:tc>
          <w:tcPr>
            <w:tcW w:w="700" w:type="dxa"/>
            <w:vAlign w:val="center"/>
            <w:vMerge w:val="continue"/>
          </w:tcPr>
          <w:p>
            <w:pPr>
              <w:pStyle w:val="Normal"/>
              <w:widowControl/>
              <w:spacing w:after="0" w:line="240" w:lineRule="auto" w:before="0"/>
              <w:jc w:val="center"/>
            </w:pPr>
            <w:r>
              <w:rPr>
                <w:rFonts w:ascii="Times New Roman" w:hAnsi="Times New Roman" w:cs="Times New Roman"/>
                <w:color w:val="000000"/>
                <w:sz w:val="22"/>
                <w:szCs w:val="22"/>
                <w:lang w:val="en-US"/>
              </w:rPr>
              <w:t/>
            </w:r>
          </w:p>
        </w:tc>
        <w:tc>
          <w:tcPr>
            <w:tcW w:w="2000" w:type="dxa"/>
            <w:vAlign w:val="center"/>
          </w:tcPr>
          <w:p>
            <w:pPr>
              <w:pStyle w:val="Normal"/>
              <w:widowControl/>
              <w:spacing w:after="0" w:line="240" w:lineRule="auto" w:before="0"/>
              <w:jc w:val="left"/>
            </w:pPr>
            <w:r>
              <w:rPr>
                <w:rFonts w:ascii="Times New Roman" w:hAnsi="Times New Roman" w:cs="Times New Roman"/>
                <w:color w:val="000000"/>
                <w:sz w:val="22"/>
                <w:szCs w:val="22"/>
                <w:lang w:val="en-US"/>
              </w:rPr>
              <w:t>Analogy</w:t>
            </w:r>
          </w:p>
        </w:tc>
        <w:tc>
          <w:tcPr>
            <w:tcW w:w="18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0.910835</w:t>
            </w:r>
          </w:p>
        </w:tc>
        <w:tc>
          <w:tcPr>
            <w:tcW w:w="15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1.9212</w:t>
            </w:r>
          </w:p>
        </w:tc>
        <w:tc>
          <w:tcPr>
            <w:tcW w:w="17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−0.025177</w:t>
            </w:r>
          </w:p>
        </w:tc>
        <w:tc>
          <w:tcPr>
            <w:tcW w:w="166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+0.3129</w:t>
            </w:r>
          </w:p>
        </w:tc>
      </w:tr>
      <w:tr>
        <w:trPr>
          <w:cantSplit/>
        </w:trPr>
        <w:tc>
          <w:tcPr>
            <w:tcW w:w="700" w:type="dxa"/>
            <w:vAlign w:val="center"/>
            <w:vMerge w:val="restart"/>
          </w:tcPr>
          <w:p>
            <w:pPr>
              <w:pStyle w:val="Normal"/>
              <w:widowControl/>
              <w:spacing w:after="0" w:line="240" w:lineRule="auto" w:before="0"/>
              <w:keepNext/>
              <w:jc w:val="center"/>
            </w:pPr>
            <w:r>
              <w:rPr>
                <w:rFonts w:ascii="Times New Roman" w:hAnsi="Times New Roman" w:cs="Times New Roman"/>
                <w:color w:val="000000"/>
                <w:sz w:val="22"/>
                <w:szCs w:val="22"/>
                <w:lang w:val="en-US"/>
              </w:rPr>
              <w:t>002</w:t>
            </w:r>
          </w:p>
        </w:tc>
        <w:tc>
          <w:tcPr>
            <w:tcW w:w="2000" w:type="dxa"/>
            <w:vAlign w:val="center"/>
          </w:tcPr>
          <w:p>
            <w:pPr>
              <w:pStyle w:val="Normal"/>
              <w:widowControl/>
              <w:spacing w:after="0" w:line="240" w:lineRule="auto" w:before="0"/>
              <w:keepNext/>
              <w:jc w:val="left"/>
            </w:pPr>
            <w:r>
              <w:rPr>
                <w:rFonts w:ascii="Times New Roman" w:hAnsi="Times New Roman" w:cs="Times New Roman"/>
                <w:color w:val="000000"/>
                <w:sz w:val="22"/>
                <w:szCs w:val="22"/>
                <w:lang w:val="en-US"/>
              </w:rPr>
              <w:t>Baseline</w:t>
            </w:r>
          </w:p>
        </w:tc>
        <w:tc>
          <w:tcPr>
            <w:tcW w:w="18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0.929093</w:t>
            </w:r>
          </w:p>
        </w:tc>
        <w:tc>
          <w:tcPr>
            <w:tcW w:w="15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1.4772</w:t>
            </w:r>
          </w:p>
        </w:tc>
        <w:tc>
          <w:tcPr>
            <w:tcW w:w="17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c>
          <w:tcPr>
            <w:tcW w:w="166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r>
      <w:tr>
        <w:trPr>
          <w:cantSplit/>
        </w:trPr>
        <w:tc>
          <w:tcPr>
            <w:tcW w:w="700" w:type="dxa"/>
            <w:vAlign w:val="center"/>
            <w:vMerge w:val="continue"/>
          </w:tcPr>
          <w:p>
            <w:pPr>
              <w:pStyle w:val="Normal"/>
              <w:widowControl/>
              <w:spacing w:after="0" w:line="240" w:lineRule="auto" w:before="0"/>
              <w:jc w:val="center"/>
            </w:pPr>
            <w:r>
              <w:rPr>
                <w:rFonts w:ascii="Times New Roman" w:hAnsi="Times New Roman" w:cs="Times New Roman"/>
                <w:color w:val="000000"/>
                <w:sz w:val="22"/>
                <w:szCs w:val="22"/>
                <w:lang w:val="en-US"/>
              </w:rPr>
              <w:t/>
            </w:r>
          </w:p>
        </w:tc>
        <w:tc>
          <w:tcPr>
            <w:tcW w:w="2000" w:type="dxa"/>
            <w:vAlign w:val="center"/>
          </w:tcPr>
          <w:p>
            <w:pPr>
              <w:pStyle w:val="Normal"/>
              <w:widowControl/>
              <w:spacing w:after="0" w:line="240" w:lineRule="auto" w:before="0"/>
              <w:jc w:val="left"/>
            </w:pPr>
            <w:r>
              <w:rPr>
                <w:rFonts w:ascii="Times New Roman" w:hAnsi="Times New Roman" w:cs="Times New Roman"/>
                <w:color w:val="000000"/>
                <w:sz w:val="22"/>
                <w:szCs w:val="22"/>
                <w:lang w:val="en-US"/>
              </w:rPr>
              <w:t>Analogy</w:t>
            </w:r>
          </w:p>
        </w:tc>
        <w:tc>
          <w:tcPr>
            <w:tcW w:w="18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0.936144</w:t>
            </w:r>
          </w:p>
        </w:tc>
        <w:tc>
          <w:tcPr>
            <w:tcW w:w="15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1.5559</w:t>
            </w:r>
          </w:p>
        </w:tc>
        <w:tc>
          <w:tcPr>
            <w:tcW w:w="17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+0.007051</w:t>
            </w:r>
          </w:p>
        </w:tc>
        <w:tc>
          <w:tcPr>
            <w:tcW w:w="166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+0.0787</w:t>
            </w:r>
          </w:p>
        </w:tc>
      </w:tr>
      <w:tr>
        <w:trPr>
          <w:cantSplit/>
        </w:trPr>
        <w:tc>
          <w:tcPr>
            <w:tcW w:w="700" w:type="dxa"/>
            <w:vAlign w:val="center"/>
            <w:vMerge w:val="restart"/>
          </w:tcPr>
          <w:p>
            <w:pPr>
              <w:pStyle w:val="Normal"/>
              <w:widowControl/>
              <w:spacing w:after="0" w:line="240" w:lineRule="auto" w:before="0"/>
              <w:keepNext/>
              <w:jc w:val="center"/>
            </w:pPr>
            <w:r>
              <w:rPr>
                <w:rFonts w:ascii="Times New Roman" w:hAnsi="Times New Roman" w:cs="Times New Roman"/>
                <w:color w:val="000000"/>
                <w:sz w:val="22"/>
                <w:szCs w:val="22"/>
                <w:lang w:val="en-US"/>
              </w:rPr>
              <w:t>003</w:t>
            </w:r>
          </w:p>
        </w:tc>
        <w:tc>
          <w:tcPr>
            <w:tcW w:w="2000" w:type="dxa"/>
            <w:vAlign w:val="center"/>
          </w:tcPr>
          <w:p>
            <w:pPr>
              <w:pStyle w:val="Normal"/>
              <w:widowControl/>
              <w:spacing w:after="0" w:line="240" w:lineRule="auto" w:before="0"/>
              <w:keepNext/>
              <w:jc w:val="left"/>
            </w:pPr>
            <w:r>
              <w:rPr>
                <w:rFonts w:ascii="Times New Roman" w:hAnsi="Times New Roman" w:cs="Times New Roman"/>
                <w:color w:val="000000"/>
                <w:sz w:val="22"/>
                <w:szCs w:val="22"/>
                <w:lang w:val="en-US"/>
              </w:rPr>
              <w:t>Baseline</w:t>
            </w:r>
          </w:p>
        </w:tc>
        <w:tc>
          <w:tcPr>
            <w:tcW w:w="18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0.938032</w:t>
            </w:r>
          </w:p>
        </w:tc>
        <w:tc>
          <w:tcPr>
            <w:tcW w:w="15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1.4471</w:t>
            </w:r>
          </w:p>
        </w:tc>
        <w:tc>
          <w:tcPr>
            <w:tcW w:w="17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c>
          <w:tcPr>
            <w:tcW w:w="166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r>
      <w:tr>
        <w:trPr>
          <w:cantSplit/>
        </w:trPr>
        <w:tc>
          <w:tcPr>
            <w:tcW w:w="700" w:type="dxa"/>
            <w:vAlign w:val="center"/>
            <w:vMerge w:val="continue"/>
          </w:tcPr>
          <w:p>
            <w:pPr>
              <w:pStyle w:val="Normal"/>
              <w:widowControl/>
              <w:spacing w:after="0" w:line="240" w:lineRule="auto" w:before="0"/>
              <w:jc w:val="center"/>
            </w:pPr>
            <w:r>
              <w:rPr>
                <w:rFonts w:ascii="Times New Roman" w:hAnsi="Times New Roman" w:cs="Times New Roman"/>
                <w:color w:val="000000"/>
                <w:sz w:val="22"/>
                <w:szCs w:val="22"/>
                <w:lang w:val="en-US"/>
              </w:rPr>
              <w:t/>
            </w:r>
          </w:p>
        </w:tc>
        <w:tc>
          <w:tcPr>
            <w:tcW w:w="2000" w:type="dxa"/>
            <w:vAlign w:val="center"/>
          </w:tcPr>
          <w:p>
            <w:pPr>
              <w:pStyle w:val="Normal"/>
              <w:widowControl/>
              <w:spacing w:after="0" w:line="240" w:lineRule="auto" w:before="0"/>
              <w:jc w:val="left"/>
            </w:pPr>
            <w:r>
              <w:rPr>
                <w:rFonts w:ascii="Times New Roman" w:hAnsi="Times New Roman" w:cs="Times New Roman"/>
                <w:color w:val="000000"/>
                <w:sz w:val="22"/>
                <w:szCs w:val="22"/>
                <w:lang w:val="en-US"/>
              </w:rPr>
              <w:t>Analogy</w:t>
            </w:r>
          </w:p>
        </w:tc>
        <w:tc>
          <w:tcPr>
            <w:tcW w:w="18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0.911681</w:t>
            </w:r>
          </w:p>
        </w:tc>
        <w:tc>
          <w:tcPr>
            <w:tcW w:w="15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1.8794</w:t>
            </w:r>
          </w:p>
        </w:tc>
        <w:tc>
          <w:tcPr>
            <w:tcW w:w="17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−0.026351</w:t>
            </w:r>
          </w:p>
        </w:tc>
        <w:tc>
          <w:tcPr>
            <w:tcW w:w="166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+0.4323</w:t>
            </w:r>
          </w:p>
        </w:tc>
      </w:tr>
      <w:tr>
        <w:trPr>
          <w:cantSplit/>
        </w:trPr>
        <w:tc>
          <w:tcPr>
            <w:tcW w:w="700" w:type="dxa"/>
            <w:vAlign w:val="center"/>
            <w:vMerge w:val="restart"/>
          </w:tcPr>
          <w:p>
            <w:pPr>
              <w:pStyle w:val="Normal"/>
              <w:widowControl/>
              <w:spacing w:after="0" w:line="240" w:lineRule="auto" w:before="0"/>
              <w:keepNext/>
              <w:jc w:val="center"/>
            </w:pPr>
            <w:r>
              <w:rPr>
                <w:rFonts w:ascii="Times New Roman" w:hAnsi="Times New Roman" w:cs="Times New Roman"/>
                <w:color w:val="000000"/>
                <w:sz w:val="22"/>
                <w:szCs w:val="22"/>
                <w:lang w:val="en-US"/>
              </w:rPr>
              <w:t>004</w:t>
            </w:r>
          </w:p>
        </w:tc>
        <w:tc>
          <w:tcPr>
            <w:tcW w:w="2000" w:type="dxa"/>
            <w:vAlign w:val="center"/>
          </w:tcPr>
          <w:p>
            <w:pPr>
              <w:pStyle w:val="Normal"/>
              <w:widowControl/>
              <w:spacing w:after="0" w:line="240" w:lineRule="auto" w:before="0"/>
              <w:keepNext/>
              <w:jc w:val="left"/>
            </w:pPr>
            <w:r>
              <w:rPr>
                <w:rFonts w:ascii="Times New Roman" w:hAnsi="Times New Roman" w:cs="Times New Roman"/>
                <w:color w:val="000000"/>
                <w:sz w:val="22"/>
                <w:szCs w:val="22"/>
                <w:lang w:val="en-US"/>
              </w:rPr>
              <w:t>Baseline</w:t>
            </w:r>
          </w:p>
        </w:tc>
        <w:tc>
          <w:tcPr>
            <w:tcW w:w="18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0.933942</w:t>
            </w:r>
          </w:p>
        </w:tc>
        <w:tc>
          <w:tcPr>
            <w:tcW w:w="15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1.5178</w:t>
            </w:r>
          </w:p>
        </w:tc>
        <w:tc>
          <w:tcPr>
            <w:tcW w:w="17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c>
          <w:tcPr>
            <w:tcW w:w="166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r>
      <w:tr>
        <w:trPr>
          <w:cantSplit/>
        </w:trPr>
        <w:tc>
          <w:tcPr>
            <w:tcW w:w="700" w:type="dxa"/>
            <w:vAlign w:val="center"/>
            <w:vMerge w:val="continue"/>
          </w:tcPr>
          <w:p>
            <w:pPr>
              <w:pStyle w:val="Normal"/>
              <w:widowControl/>
              <w:spacing w:after="0" w:line="240" w:lineRule="auto" w:before="0"/>
              <w:jc w:val="center"/>
            </w:pPr>
            <w:r>
              <w:rPr>
                <w:rFonts w:ascii="Times New Roman" w:hAnsi="Times New Roman" w:cs="Times New Roman"/>
                <w:color w:val="000000"/>
                <w:sz w:val="22"/>
                <w:szCs w:val="22"/>
                <w:lang w:val="en-US"/>
              </w:rPr>
              <w:t/>
            </w:r>
          </w:p>
        </w:tc>
        <w:tc>
          <w:tcPr>
            <w:tcW w:w="2000" w:type="dxa"/>
            <w:vAlign w:val="center"/>
          </w:tcPr>
          <w:p>
            <w:pPr>
              <w:pStyle w:val="Normal"/>
              <w:widowControl/>
              <w:spacing w:after="0" w:line="240" w:lineRule="auto" w:before="0"/>
              <w:jc w:val="left"/>
            </w:pPr>
            <w:r>
              <w:rPr>
                <w:rFonts w:ascii="Times New Roman" w:hAnsi="Times New Roman" w:cs="Times New Roman"/>
                <w:color w:val="000000"/>
                <w:sz w:val="22"/>
                <w:szCs w:val="22"/>
                <w:lang w:val="en-US"/>
              </w:rPr>
              <w:t>Analogy</w:t>
            </w:r>
          </w:p>
        </w:tc>
        <w:tc>
          <w:tcPr>
            <w:tcW w:w="18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0.930361</w:t>
            </w:r>
          </w:p>
        </w:tc>
        <w:tc>
          <w:tcPr>
            <w:tcW w:w="15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1.6337</w:t>
            </w:r>
          </w:p>
        </w:tc>
        <w:tc>
          <w:tcPr>
            <w:tcW w:w="17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−0.003581</w:t>
            </w:r>
          </w:p>
        </w:tc>
        <w:tc>
          <w:tcPr>
            <w:tcW w:w="166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+0.1159</w:t>
            </w:r>
          </w:p>
        </w:tc>
      </w:tr>
      <w:tr>
        <w:trPr>
          <w:cantSplit/>
        </w:trPr>
        <w:tc>
          <w:tcPr>
            <w:tcW w:w="700" w:type="dxa"/>
            <w:vAlign w:val="center"/>
            <w:vMerge w:val="restart"/>
          </w:tcPr>
          <w:p>
            <w:pPr>
              <w:pStyle w:val="Normal"/>
              <w:widowControl/>
              <w:spacing w:after="0" w:line="240" w:lineRule="auto" w:before="0"/>
              <w:keepNext/>
              <w:jc w:val="center"/>
            </w:pPr>
            <w:r>
              <w:rPr>
                <w:rFonts w:ascii="Times New Roman" w:hAnsi="Times New Roman" w:cs="Times New Roman"/>
                <w:color w:val="000000"/>
                <w:sz w:val="22"/>
                <w:szCs w:val="22"/>
                <w:lang w:val="en-US"/>
              </w:rPr>
              <w:t>005</w:t>
            </w:r>
          </w:p>
        </w:tc>
        <w:tc>
          <w:tcPr>
            <w:tcW w:w="2000" w:type="dxa"/>
            <w:vAlign w:val="center"/>
          </w:tcPr>
          <w:p>
            <w:pPr>
              <w:pStyle w:val="Normal"/>
              <w:widowControl/>
              <w:spacing w:after="0" w:line="240" w:lineRule="auto" w:before="0"/>
              <w:keepNext/>
              <w:jc w:val="left"/>
            </w:pPr>
            <w:r>
              <w:rPr>
                <w:rFonts w:ascii="Times New Roman" w:hAnsi="Times New Roman" w:cs="Times New Roman"/>
                <w:color w:val="000000"/>
                <w:sz w:val="22"/>
                <w:szCs w:val="22"/>
                <w:lang w:val="en-US"/>
              </w:rPr>
              <w:t>Baseline</w:t>
            </w:r>
          </w:p>
        </w:tc>
        <w:tc>
          <w:tcPr>
            <w:tcW w:w="18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0.934303</w:t>
            </w:r>
          </w:p>
        </w:tc>
        <w:tc>
          <w:tcPr>
            <w:tcW w:w="15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1.5426</w:t>
            </w:r>
          </w:p>
        </w:tc>
        <w:tc>
          <w:tcPr>
            <w:tcW w:w="17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c>
          <w:tcPr>
            <w:tcW w:w="166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r>
      <w:tr>
        <w:trPr>
          <w:cantSplit/>
        </w:trPr>
        <w:tc>
          <w:tcPr>
            <w:tcW w:w="700" w:type="dxa"/>
            <w:vAlign w:val="center"/>
            <w:vMerge w:val="continue"/>
          </w:tcPr>
          <w:p>
            <w:pPr>
              <w:pStyle w:val="Normal"/>
              <w:widowControl/>
              <w:spacing w:after="0" w:line="240" w:lineRule="auto" w:before="0"/>
              <w:jc w:val="center"/>
            </w:pPr>
            <w:r>
              <w:rPr>
                <w:rFonts w:ascii="Times New Roman" w:hAnsi="Times New Roman" w:cs="Times New Roman"/>
                <w:color w:val="000000"/>
                <w:sz w:val="22"/>
                <w:szCs w:val="22"/>
                <w:lang w:val="en-US"/>
              </w:rPr>
              <w:t/>
            </w:r>
          </w:p>
        </w:tc>
        <w:tc>
          <w:tcPr>
            <w:tcW w:w="2000" w:type="dxa"/>
            <w:vAlign w:val="center"/>
          </w:tcPr>
          <w:p>
            <w:pPr>
              <w:pStyle w:val="Normal"/>
              <w:widowControl/>
              <w:spacing w:after="0" w:line="240" w:lineRule="auto" w:before="0"/>
              <w:jc w:val="left"/>
            </w:pPr>
            <w:r>
              <w:rPr>
                <w:rFonts w:ascii="Times New Roman" w:hAnsi="Times New Roman" w:cs="Times New Roman"/>
                <w:color w:val="000000"/>
                <w:sz w:val="22"/>
                <w:szCs w:val="22"/>
                <w:lang w:val="en-US"/>
              </w:rPr>
              <w:t>Analogy</w:t>
            </w:r>
          </w:p>
        </w:tc>
        <w:tc>
          <w:tcPr>
            <w:tcW w:w="18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0.926962</w:t>
            </w:r>
          </w:p>
        </w:tc>
        <w:tc>
          <w:tcPr>
            <w:tcW w:w="15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1.8931</w:t>
            </w:r>
          </w:p>
        </w:tc>
        <w:tc>
          <w:tcPr>
            <w:tcW w:w="17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−0.007341</w:t>
            </w:r>
          </w:p>
        </w:tc>
        <w:tc>
          <w:tcPr>
            <w:tcW w:w="166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+0.3505</w:t>
            </w:r>
          </w:p>
        </w:tc>
      </w:tr>
      <w:tr>
        <w:trPr>
          <w:cantSplit/>
        </w:trPr>
        <w:tc>
          <w:tcPr>
            <w:tcW w:w="700" w:type="dxa"/>
            <w:vAlign w:val="center"/>
            <w:vMerge w:val="restart"/>
          </w:tcPr>
          <w:p>
            <w:pPr>
              <w:pStyle w:val="Normal"/>
              <w:widowControl/>
              <w:spacing w:after="0" w:line="240" w:lineRule="auto" w:before="0"/>
              <w:keepNext/>
              <w:jc w:val="center"/>
            </w:pPr>
            <w:r>
              <w:rPr>
                <w:rFonts w:ascii="Times New Roman" w:hAnsi="Times New Roman" w:cs="Times New Roman"/>
                <w:color w:val="000000"/>
                <w:sz w:val="22"/>
                <w:szCs w:val="22"/>
                <w:lang w:val="en-US"/>
              </w:rPr>
              <w:t>006</w:t>
            </w:r>
          </w:p>
        </w:tc>
        <w:tc>
          <w:tcPr>
            <w:tcW w:w="2000" w:type="dxa"/>
            <w:vAlign w:val="center"/>
          </w:tcPr>
          <w:p>
            <w:pPr>
              <w:pStyle w:val="Normal"/>
              <w:widowControl/>
              <w:spacing w:after="0" w:line="240" w:lineRule="auto" w:before="0"/>
              <w:keepNext/>
              <w:jc w:val="left"/>
            </w:pPr>
            <w:r>
              <w:rPr>
                <w:rFonts w:ascii="Times New Roman" w:hAnsi="Times New Roman" w:cs="Times New Roman"/>
                <w:color w:val="000000"/>
                <w:sz w:val="22"/>
                <w:szCs w:val="22"/>
                <w:lang w:val="en-US"/>
              </w:rPr>
              <w:t>Baseline</w:t>
            </w:r>
          </w:p>
        </w:tc>
        <w:tc>
          <w:tcPr>
            <w:tcW w:w="18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0.932469</w:t>
            </w:r>
          </w:p>
        </w:tc>
        <w:tc>
          <w:tcPr>
            <w:tcW w:w="15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1.5215</w:t>
            </w:r>
          </w:p>
        </w:tc>
        <w:tc>
          <w:tcPr>
            <w:tcW w:w="170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c>
          <w:tcPr>
            <w:tcW w:w="1660" w:type="dxa"/>
            <w:vAlign w:val="center"/>
          </w:tcPr>
          <w:p>
            <w:pPr>
              <w:pStyle w:val="Normal"/>
              <w:widowControl/>
              <w:spacing w:after="0" w:line="240" w:lineRule="auto" w:before="0"/>
              <w:keepNext/>
              <w:jc w:val="center"/>
            </w:pPr>
            <w:r>
              <w:rPr>
                <w:rFonts w:ascii="Times New Roman" w:hAnsi="Times New Roman" w:cs="Times New Roman"/>
                <w:color w:val="000000"/>
                <w:sz w:val="22"/>
                <w:szCs w:val="22"/>
                <w:lang w:val="en-US"/>
              </w:rPr>
              <w:t>—</w:t>
            </w:r>
          </w:p>
        </w:tc>
      </w:tr>
      <w:tr>
        <w:trPr>
          <w:cantSplit/>
        </w:trPr>
        <w:tc>
          <w:tcPr>
            <w:tcW w:w="700" w:type="dxa"/>
            <w:vAlign w:val="center"/>
            <w:vMerge w:val="continue"/>
          </w:tcPr>
          <w:p>
            <w:pPr>
              <w:pStyle w:val="Normal"/>
              <w:widowControl/>
              <w:spacing w:after="0" w:line="240" w:lineRule="auto" w:before="0"/>
              <w:jc w:val="center"/>
            </w:pPr>
            <w:r>
              <w:rPr>
                <w:rFonts w:ascii="Times New Roman" w:hAnsi="Times New Roman" w:cs="Times New Roman"/>
                <w:color w:val="000000"/>
                <w:sz w:val="22"/>
                <w:szCs w:val="22"/>
                <w:lang w:val="en-US"/>
              </w:rPr>
              <w:t/>
            </w:r>
          </w:p>
        </w:tc>
        <w:tc>
          <w:tcPr>
            <w:tcW w:w="2000" w:type="dxa"/>
            <w:vAlign w:val="center"/>
          </w:tcPr>
          <w:p>
            <w:pPr>
              <w:pStyle w:val="Normal"/>
              <w:widowControl/>
              <w:spacing w:after="0" w:line="240" w:lineRule="auto" w:before="0"/>
              <w:jc w:val="left"/>
            </w:pPr>
            <w:r>
              <w:rPr>
                <w:rFonts w:ascii="Times New Roman" w:hAnsi="Times New Roman" w:cs="Times New Roman"/>
                <w:color w:val="000000"/>
                <w:sz w:val="22"/>
                <w:szCs w:val="22"/>
                <w:lang w:val="en-US"/>
              </w:rPr>
              <w:t>Analogy</w:t>
            </w:r>
          </w:p>
        </w:tc>
        <w:tc>
          <w:tcPr>
            <w:tcW w:w="18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0.928950</w:t>
            </w:r>
          </w:p>
        </w:tc>
        <w:tc>
          <w:tcPr>
            <w:tcW w:w="15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1.6824</w:t>
            </w:r>
          </w:p>
        </w:tc>
        <w:tc>
          <w:tcPr>
            <w:tcW w:w="170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−0.003519</w:t>
            </w:r>
          </w:p>
        </w:tc>
        <w:tc>
          <w:tcPr>
            <w:tcW w:w="1660" w:type="dxa"/>
            <w:vAlign w:val="center"/>
          </w:tcPr>
          <w:p>
            <w:pPr>
              <w:pStyle w:val="Normal"/>
              <w:widowControl/>
              <w:spacing w:after="0" w:line="240" w:lineRule="auto" w:before="0"/>
              <w:jc w:val="center"/>
            </w:pPr>
            <w:r>
              <w:rPr>
                <w:rFonts w:ascii="Times New Roman" w:hAnsi="Times New Roman" w:cs="Times New Roman"/>
                <w:color w:val="000000"/>
                <w:sz w:val="22"/>
                <w:szCs w:val="22"/>
                <w:lang w:val="en-US"/>
              </w:rPr>
              <w:t>+0.1609</w:t>
            </w:r>
          </w:p>
        </w:tc>
      </w:tr>
    </w:tbl>
    <w:p>
      <w:pPr>
        <w:pStyle w:val="Normal"/>
        <w:widowControl/>
        <w:spacing w:after="160" w:line="278" w:lineRule="auto" w:before="100"/>
      </w:pPr>
      <w:r>
        <w:rPr>
          <w:rFonts w:ascii="Times New Roman" w:hAnsi="Times New Roman" w:cs="Times New Roman"/>
          <w:color w:val="000000"/>
          <w:sz w:val="22"/>
          <w:szCs w:val="22"/>
          <w:lang w:val="en-US"/>
        </w:rPr>
        <w:t>Vendi uses subsets of m = 7. Positive deltas indicate higher scores or greater diversity. Deltas are analogy minus baseline, calculated before rounding; they may differ from subtraction of displayed values.</w:t>
      </w:r>
    </w:p>
    <w:p>
      <w:pPr>
        <w:pStyle w:val="Normal"/>
        <w:widowControl/>
        <w:spacing w:after="160" w:line="278" w:lineRule="auto" w:before="0"/>
      </w:pPr>
      <w:r>
        <w:rPr>
          <w:rFonts w:ascii="Times New Roman" w:hAnsi="Times New Roman" w:cs="Times New Roman"/>
          <w:color w:val="000000"/>
          <w:sz w:val="24"/>
          <w:szCs w:val="24"/>
          <w:lang w:val="en-US"/>
        </w:rPr>
        <w:t>Analogy has a higher validation score only in pair 002, while Vendi is higher in all six pairs. Greater measured diversity therefore coincides with lower validation performance in five pairs. Vendi does not establish candidate correctness or scientific novelty.</w:t>
      </w:r>
    </w:p>
    <w:p w14:paraId="73513733" w14:textId="4DCA0AAD" w:rsidR="00586118" w:rsidRPr="00586118" w:rsidRDefault="00586118" w:rsidP="00586118">
      <w:pPr>
        <w:rPr>
          <w:rFonts w:ascii="Times New Roman" w:hAnsi="Times New Roman" w:cs="Times New Roman"/>
        </w:rPr>
      </w:pPr>
      <w:r w:rsidRPr="00586118">
        <w:rPr>
          <w:rFonts w:ascii="Times New Roman" w:hAnsi="Times New Roman" w:cs="Times New Roman"/>
        </w:rPr>
        <w:t>Conclusion</w:t>
      </w:r>
    </w:p>
    <w:p w14:paraId="0DBF94DE" w14:textId="77777777" w:rsidR="00586118" w:rsidRPr="00586118" w:rsidRDefault="00586118" w:rsidP="00586118">
      <w:pPr>
        <w:rPr>
          <w:rFonts w:ascii="Times New Roman" w:hAnsi="Times New Roman" w:cs="Times New Roman"/>
        </w:rPr>
      </w:pPr>
    </w:p>
    <w:p w14:paraId="09BECD5C" w14:textId="77777777" w:rsidR="00586118" w:rsidRPr="00586118" w:rsidRDefault="00586118" w:rsidP="00586118">
      <w:pPr>
        <w:rPr>
          <w:rFonts w:ascii="Times New Roman" w:hAnsi="Times New Roman" w:cs="Times New Roman"/>
        </w:rPr>
      </w:pPr>
      <w:r w:rsidRPr="00586118">
        <w:rPr>
          <w:rFonts w:ascii="Times New Roman" w:hAnsi="Times New Roman" w:cs="Times New Roman"/>
        </w:rPr>
        <w:t>TBD</w:t>
      </w:r>
    </w:p>
    <w:p w14:paraId="77D90B8C" w14:textId="77777777" w:rsidR="00586118" w:rsidRPr="00586118" w:rsidRDefault="00586118" w:rsidP="00586118">
      <w:pPr>
        <w:rPr>
          <w:rFonts w:ascii="Times New Roman" w:hAnsi="Times New Roman" w:cs="Times New Roman"/>
        </w:rPr>
      </w:pPr>
    </w:p>
    <w:p w14:paraId="5C9D04DA" w14:textId="0700492D" w:rsidR="00586118" w:rsidRPr="00586118" w:rsidRDefault="00586118" w:rsidP="00586118">
      <w:pPr>
        <w:rPr>
          <w:rFonts w:ascii="Times New Roman" w:hAnsi="Times New Roman" w:cs="Times New Roman"/>
        </w:rPr>
      </w:pPr>
      <w:r w:rsidRPr="00586118">
        <w:rPr>
          <w:rFonts w:ascii="Times New Roman" w:hAnsi="Times New Roman" w:cs="Times New Roman"/>
        </w:rPr>
        <w:t>Discussion</w:t>
      </w:r>
      <w:r w:rsidR="009A6AAE">
        <w:rPr>
          <w:rFonts w:ascii="Times New Roman" w:hAnsi="Times New Roman" w:cs="Times New Roman"/>
        </w:rPr>
        <w:t xml:space="preserve"> and Limitations</w:t>
      </w:r>
    </w:p>
    <w:p w14:paraId="55220378" w14:textId="38BFCF7F" w:rsidR="005D196E" w:rsidRPr="00586118" w:rsidRDefault="005D196E" w:rsidP="00586118">
      <w:pPr>
        <w:rPr>
          <w:rFonts w:ascii="Times New Roman" w:hAnsi="Times New Roman" w:cs="Times New Roman"/>
        </w:rPr>
      </w:pPr>
    </w:p>
    <w:sectPr w:rsidR="005D196E" w:rsidRPr="005861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57583"/>
    <w:multiLevelType w:val="hybridMultilevel"/>
    <w:tmpl w:val="5BB8FC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E14585"/>
    <w:multiLevelType w:val="hybridMultilevel"/>
    <w:tmpl w:val="92AC7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242D57"/>
    <w:multiLevelType w:val="hybridMultilevel"/>
    <w:tmpl w:val="172430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9F1848"/>
    <w:multiLevelType w:val="hybridMultilevel"/>
    <w:tmpl w:val="675C91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DF900FF"/>
    <w:multiLevelType w:val="hybridMultilevel"/>
    <w:tmpl w:val="1B9A32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DB4EFD"/>
    <w:multiLevelType w:val="hybridMultilevel"/>
    <w:tmpl w:val="2FE8320A"/>
    <w:lvl w:ilvl="0" w:tplc="91DC07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96306284">
    <w:abstractNumId w:val="1"/>
  </w:num>
  <w:num w:numId="2" w16cid:durableId="575824859">
    <w:abstractNumId w:val="0"/>
  </w:num>
  <w:num w:numId="3" w16cid:durableId="1561208297">
    <w:abstractNumId w:val="2"/>
  </w:num>
  <w:num w:numId="4" w16cid:durableId="906645455">
    <w:abstractNumId w:val="4"/>
  </w:num>
  <w:num w:numId="5" w16cid:durableId="672806779">
    <w:abstractNumId w:val="3"/>
  </w:num>
  <w:num w:numId="6" w16cid:durableId="52691520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118"/>
    <w:rsid w:val="000353D0"/>
    <w:rsid w:val="00051EBF"/>
    <w:rsid w:val="000875B6"/>
    <w:rsid w:val="000919EC"/>
    <w:rsid w:val="000A1638"/>
    <w:rsid w:val="002577F7"/>
    <w:rsid w:val="00284D6A"/>
    <w:rsid w:val="00367AEB"/>
    <w:rsid w:val="0038583D"/>
    <w:rsid w:val="00586118"/>
    <w:rsid w:val="005C5146"/>
    <w:rsid w:val="005D196E"/>
    <w:rsid w:val="005E7139"/>
    <w:rsid w:val="00667FA3"/>
    <w:rsid w:val="006A66BC"/>
    <w:rsid w:val="006E669C"/>
    <w:rsid w:val="00782EB1"/>
    <w:rsid w:val="008A64B4"/>
    <w:rsid w:val="008E0196"/>
    <w:rsid w:val="00933251"/>
    <w:rsid w:val="009A6AAE"/>
    <w:rsid w:val="009B5368"/>
    <w:rsid w:val="009D2927"/>
    <w:rsid w:val="00AD0D78"/>
    <w:rsid w:val="00B33E06"/>
    <w:rsid w:val="00BA7851"/>
    <w:rsid w:val="00C30C0A"/>
    <w:rsid w:val="00C65433"/>
    <w:rsid w:val="00CB5E60"/>
    <w:rsid w:val="00D275BA"/>
    <w:rsid w:val="00D70506"/>
    <w:rsid w:val="00DA2E67"/>
    <w:rsid w:val="00E40FDD"/>
    <w:rsid w:val="00F03B00"/>
    <w:rsid w:val="00F27A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EE5573"/>
  <w15:chartTrackingRefBased/>
  <w15:docId w15:val="{0CAD40E4-1DF1-A742-97BD-D0D8B9BB0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118"/>
    <w:rPr>
      <w:rFonts w:eastAsiaTheme="majorEastAsia" w:cstheme="majorBidi"/>
      <w:color w:val="272727" w:themeColor="text1" w:themeTint="D8"/>
    </w:rPr>
  </w:style>
  <w:style w:type="paragraph" w:styleId="Title">
    <w:name w:val="Title"/>
    <w:basedOn w:val="Normal"/>
    <w:next w:val="Normal"/>
    <w:link w:val="TitleChar"/>
    <w:uiPriority w:val="10"/>
    <w:qFormat/>
    <w:rsid w:val="00586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118"/>
    <w:pPr>
      <w:spacing w:before="160"/>
      <w:jc w:val="center"/>
    </w:pPr>
    <w:rPr>
      <w:i/>
      <w:iCs/>
      <w:color w:val="404040" w:themeColor="text1" w:themeTint="BF"/>
    </w:rPr>
  </w:style>
  <w:style w:type="character" w:customStyle="1" w:styleId="QuoteChar">
    <w:name w:val="Quote Char"/>
    <w:basedOn w:val="DefaultParagraphFont"/>
    <w:link w:val="Quote"/>
    <w:uiPriority w:val="29"/>
    <w:rsid w:val="00586118"/>
    <w:rPr>
      <w:i/>
      <w:iCs/>
      <w:color w:val="404040" w:themeColor="text1" w:themeTint="BF"/>
    </w:rPr>
  </w:style>
  <w:style w:type="paragraph" w:styleId="ListParagraph">
    <w:name w:val="List Paragraph"/>
    <w:basedOn w:val="Normal"/>
    <w:uiPriority w:val="34"/>
    <w:qFormat/>
    <w:rsid w:val="00586118"/>
    <w:pPr>
      <w:ind w:left="720"/>
      <w:contextualSpacing/>
    </w:pPr>
  </w:style>
  <w:style w:type="character" w:styleId="IntenseEmphasis">
    <w:name w:val="Intense Emphasis"/>
    <w:basedOn w:val="DefaultParagraphFont"/>
    <w:uiPriority w:val="21"/>
    <w:qFormat/>
    <w:rsid w:val="00586118"/>
    <w:rPr>
      <w:i/>
      <w:iCs/>
      <w:color w:val="0F4761" w:themeColor="accent1" w:themeShade="BF"/>
    </w:rPr>
  </w:style>
  <w:style w:type="paragraph" w:styleId="IntenseQuote">
    <w:name w:val="Intense Quote"/>
    <w:basedOn w:val="Normal"/>
    <w:next w:val="Normal"/>
    <w:link w:val="IntenseQuoteChar"/>
    <w:uiPriority w:val="30"/>
    <w:qFormat/>
    <w:rsid w:val="00586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118"/>
    <w:rPr>
      <w:i/>
      <w:iCs/>
      <w:color w:val="0F4761" w:themeColor="accent1" w:themeShade="BF"/>
    </w:rPr>
  </w:style>
  <w:style w:type="character" w:styleId="IntenseReference">
    <w:name w:val="Intense Reference"/>
    <w:basedOn w:val="DefaultParagraphFont"/>
    <w:uiPriority w:val="32"/>
    <w:qFormat/>
    <w:rsid w:val="0058611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E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E0196"/>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5C5146"/>
    <w:rPr>
      <w:color w:val="467886" w:themeColor="hyperlink"/>
      <w:u w:val="single"/>
    </w:rPr>
  </w:style>
  <w:style w:type="character" w:styleId="UnresolvedMention">
    <w:name w:val="Unresolved Mention"/>
    <w:basedOn w:val="DefaultParagraphFont"/>
    <w:uiPriority w:val="99"/>
    <w:semiHidden/>
    <w:unhideWhenUsed/>
    <w:rsid w:val="005C51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TaskSource3" Type="http://schemas.openxmlformats.org/officeDocument/2006/relationships/hyperlink" Target="https://www.kaggle.com/competitions/jigsaw-unintended-bias-in-toxicity-classification" TargetMode="External"/><Relationship Id="rIdTaskSource4" Type="http://schemas.openxmlformats.org/officeDocument/2006/relationships/hyperlink" Target="https://www.kaggle.com/competitions/lmsys-chatbot-arena" TargetMode="External"/><Relationship Id="rIdTaskSource1" Type="http://schemas.openxmlformats.org/officeDocument/2006/relationships/hyperlink" Target="https://www.kaggle.com/competitions/learning-agency-lab-automated-essay-scoring-2" TargetMode="External"/><Relationship Id="rIdTaskSource2" Type="http://schemas.openxmlformats.org/officeDocument/2006/relationships/hyperlink" Target="https://www.kaggle.com/competitions/jigsaw-toxic-comment-classification-challe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168</Words>
  <Characters>1297</Characters>
  <Application>Microsoft Office Word</Application>
  <DocSecurity>0</DocSecurity>
  <Lines>49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雨泽 李</dc:creator>
  <cp:keywords/>
  <dc:description/>
  <cp:lastModifiedBy>雨泽 李</cp:lastModifiedBy>
  <cp:revision>24</cp:revision>
  <dcterms:created xsi:type="dcterms:W3CDTF">2026-10-01T23:55:00Z</dcterms:created>
  <dcterms:modified xsi:type="dcterms:W3CDTF">2026-10-06T21:06:00Z</dcterms:modified>
</cp:coreProperties>
</file>