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right"/>
        <w:rPr>
          <w:rFonts w:ascii="Play" w:cs="Play" w:eastAsia="Play" w:hAnsi="Play"/>
          <w:b w:val="1"/>
          <w:i w:val="0"/>
          <w:smallCaps w:val="0"/>
          <w:strike w:val="0"/>
          <w:color w:val="6aa84f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rsznx97bnd78" w:id="0"/>
      <w:bookmarkEnd w:id="0"/>
      <w:r w:rsidDel="00000000" w:rsidR="00000000" w:rsidRPr="00000000">
        <w:rPr>
          <w:rFonts w:ascii="Play" w:cs="Play" w:eastAsia="Play" w:hAnsi="Play"/>
          <w:b w:val="1"/>
          <w:color w:val="6aa84f"/>
          <w:sz w:val="56"/>
          <w:szCs w:val="56"/>
          <w:rtl w:val="0"/>
        </w:rPr>
        <w:t xml:space="preserve">Diagrama de Flujo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right"/>
        <w:rPr>
          <w:rFonts w:ascii="Play" w:cs="Play" w:eastAsia="Play" w:hAnsi="Play"/>
          <w:b w:val="1"/>
          <w:i w:val="0"/>
          <w:smallCaps w:val="0"/>
          <w:strike w:val="0"/>
          <w:color w:val="6aa84f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n3tpiaaqvuz1" w:id="1"/>
      <w:bookmarkEnd w:id="1"/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6aa84f"/>
          <w:sz w:val="56"/>
          <w:szCs w:val="56"/>
          <w:u w:val="none"/>
          <w:shd w:fill="auto" w:val="clear"/>
          <w:vertAlign w:val="baseline"/>
          <w:rtl w:val="0"/>
        </w:rPr>
        <w:t xml:space="preserve">Proyecto Sercotec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Integrantes: William Menares</w:t>
      </w:r>
    </w:p>
    <w:p w:rsidR="00000000" w:rsidDel="00000000" w:rsidP="00000000" w:rsidRDefault="00000000" w:rsidRPr="00000000" w14:paraId="00000012">
      <w:pPr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Oscar Espinoza</w:t>
      </w:r>
    </w:p>
    <w:p w:rsidR="00000000" w:rsidDel="00000000" w:rsidP="00000000" w:rsidRDefault="00000000" w:rsidRPr="00000000" w14:paraId="00000013">
      <w:pPr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Roberto Mayea</w:t>
      </w:r>
    </w:p>
    <w:p w:rsidR="00000000" w:rsidDel="00000000" w:rsidP="00000000" w:rsidRDefault="00000000" w:rsidRPr="00000000" w14:paraId="00000014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Diagrama de Flujo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971550</wp:posOffset>
            </wp:positionH>
            <wp:positionV relativeFrom="paragraph">
              <wp:posOffset>352425</wp:posOffset>
            </wp:positionV>
            <wp:extent cx="4733925" cy="8020050"/>
            <wp:effectExtent b="0" l="0" r="0" t="0"/>
            <wp:wrapTopAndBottom distB="114300" distT="114300"/>
            <wp:docPr id="10625681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02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Descripción del Flujo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Registro: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 flujo comienza con un usuario nuevo que puede registrarse en el sistema. Si ya tiene una cuenta, procede directamente al inicio de sesión.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Autenticación: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Los usuarios, una vez registrados o al iniciar sesión, accede al Dashboard, donde pueden realizar varias acciones.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Acceso al formulario de diagnóstico: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 usuario registrado puede acceder al formulario de diagnóstico en línea.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Una vez que ha completado el formulario, lo envía al sistema.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Cálculos sobre las respuestas: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Después de enviar el formulario, el sistema realiza cálculos automáticos basados en las respuestas del usuario.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Estos cálculos permiten identificar las áreas más débiles de la empresa evaluada a partir del diagnóstico.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Generación de informe en texto plano: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 sistema genera un informe en texto plano que incluye un resumen de los aspectos más débiles según los resultados del formulario.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Este informe es mostrado al usuario registrado para que pueda conocer las áreas que requieren mayor atención.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Administración (Panel de control):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Si el usuario es administrador de Sercotec, accede al panel de control desde el cual puede revisar y gestionar todos los diagnósticos completados, así como los informes generados en texto plano.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Cierre del flujo: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 proceso se cierra después de que el usuario registrado revisa el informe, o bien, después de que el administrador de Sercotec gestiona los diagnósticos.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-784858</wp:posOffset>
          </wp:positionH>
          <wp:positionV relativeFrom="paragraph">
            <wp:posOffset>-344803</wp:posOffset>
          </wp:positionV>
          <wp:extent cx="3219450" cy="792369"/>
          <wp:effectExtent b="0" l="0" r="0" t="0"/>
          <wp:wrapNone/>
          <wp:docPr descr="Logotipo&#10;&#10;Descripción generada automáticamente" id="1062568131" name="image1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19450" cy="79236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2018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2018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2018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2018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2018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2018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2018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2018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2018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2018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2018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2018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2018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2018C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2018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2018C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2018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2018C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2018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2018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2018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2018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2018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2018C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2018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2018C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2018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2018C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2018C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12018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2018C"/>
  </w:style>
  <w:style w:type="paragraph" w:styleId="Piedepgina">
    <w:name w:val="footer"/>
    <w:basedOn w:val="Normal"/>
    <w:link w:val="PiedepginaCar"/>
    <w:uiPriority w:val="99"/>
    <w:unhideWhenUsed w:val="1"/>
    <w:rsid w:val="0012018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18C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KIy/UoXG+YUdcjP5rXp4D32tyA==">CgMxLjAyDmgucnN6bng5N2JuZDc4Mg5oLm4zdHBpYWFxdnV6MTgAciExdWhSNnBLbG92TnJ0b1pOcVdTOTk4aUtsNUZscGEtX3Y=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2024-09-12T01:39:00Z</dcterms:created>
  <dc:creator>WILLIAM . MENARES DIAZ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0x01010030FD07C9EB9E314AA83D476BFE596F97</vt:lpwstr>
  </property>
</Properties>
</file>