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31 – 36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Intelligent Systems and Control </w:t>
      </w:r>
    </w:p>
    <w:p>
      <w:pPr>
        <w:autoSpaceDN w:val="0"/>
        <w:autoSpaceDE w:val="0"/>
        <w:widowControl/>
        <w:spacing w:line="245" w:lineRule="auto" w:before="260" w:after="0"/>
        <w:ind w:left="576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A Hyper-Solution Framework for SVM Classification: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Improving Damage Detection on Helicopter Fuselage Panels </w:t>
      </w:r>
    </w:p>
    <w:p>
      <w:pPr>
        <w:autoSpaceDN w:val="0"/>
        <w:autoSpaceDE w:val="0"/>
        <w:widowControl/>
        <w:spacing w:line="252" w:lineRule="auto" w:before="214" w:after="0"/>
        <w:ind w:left="720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Antonio Candelieri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Raul Sormani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Gaia Arosio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Ilaria Giordani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, Francesco 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Archetti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a,b</w:t>
      </w:r>
    </w:p>
    <w:p>
      <w:pPr>
        <w:autoSpaceDN w:val="0"/>
        <w:autoSpaceDE w:val="0"/>
        <w:widowControl/>
        <w:spacing w:line="200" w:lineRule="exact" w:before="158" w:after="0"/>
        <w:ind w:left="1584" w:right="1440" w:firstLine="0"/>
        <w:jc w:val="center"/>
      </w:pPr>
      <w:r>
        <w:rPr>
          <w:rFonts w:ascii="Times" w:hAnsi="Times" w:eastAsia="Times"/>
          <w:b w:val="0"/>
          <w:i/>
          <w:color w:val="221F1F"/>
          <w:sz w:val="10"/>
        </w:rPr>
        <w:t>a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Department of Computer Science, Systems and Communications, University of Milano Bicocca, Italy </w:t>
      </w:r>
      <w:r>
        <w:rPr>
          <w:rFonts w:ascii="Times" w:hAnsi="Times" w:eastAsia="Times"/>
          <w:b w:val="0"/>
          <w:i/>
          <w:color w:val="221F1F"/>
          <w:sz w:val="10"/>
        </w:rPr>
        <w:t>b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Consorzio Milano Ricerche, Italy </w:t>
      </w:r>
    </w:p>
    <w:p>
      <w:pPr>
        <w:autoSpaceDN w:val="0"/>
        <w:autoSpaceDE w:val="0"/>
        <w:widowControl/>
        <w:spacing w:line="200" w:lineRule="exact" w:before="952" w:after="0"/>
        <w:ind w:left="42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38" w:after="0"/>
        <w:ind w:left="426" w:right="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on-line assessment of structural health of aircraft fuselage panels and their remaining useful life is crucial both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military and civilian settings. This paper presents an application of a Support Vector Machines (SVM)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framework aimed at improving the diagnosis task based on the strain values acquired through a monitoring sensor network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deployed on the helicopter fuselage panels. More in details, diagnosis is usually defined as detecting a damage, identifying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specific component affected (i.e., bay or stringer) and then characterizing the damage in terms of center and size. Here,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first two steps are performed through the SVM classification framework while the last one is based on an Artificial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Neural Network (ANN) hierarchy already presented in a previous authors’ work. </w:t>
      </w:r>
    </w:p>
    <w:p>
      <w:pPr>
        <w:autoSpaceDN w:val="0"/>
        <w:autoSpaceDE w:val="0"/>
        <w:widowControl/>
        <w:spacing w:line="250" w:lineRule="auto" w:before="22" w:after="0"/>
        <w:ind w:left="426" w:right="41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training dataset was built through Finite Elements Method (FEM) based simulation, able to simulate the behavior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any type of panel and damage according to specific parameters to set up; the result of FE simulation consists of the strain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fields on different locations. As results, the proposed SVM classification framework permits to improve reliability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detection and characterization tasks respect to the previous approach entirely based on ANN hierarchies. </w:t>
      </w:r>
    </w:p>
    <w:p>
      <w:pPr>
        <w:autoSpaceDN w:val="0"/>
        <w:autoSpaceDE w:val="0"/>
        <w:widowControl/>
        <w:spacing w:line="245" w:lineRule="auto" w:before="20" w:after="180"/>
        <w:ind w:left="4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Finally, the remaining useful life is estimated by using another ANN, different for damage on bay and stringer, able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predict the values of two parameters of the NASGRO equation which is used to estimate the damage propagation.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9727"/>
      </w:tblGrid>
      <w:tr>
        <w:trPr>
          <w:trHeight w:hRule="exact" w:val="802"/>
        </w:trPr>
        <w:tc>
          <w:tcPr>
            <w:tcW w:type="dxa" w:w="9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3800" w:val="left"/>
              </w:tabs>
              <w:autoSpaceDE w:val="0"/>
              <w:widowControl/>
              <w:spacing w:line="118" w:lineRule="exact" w:before="164" w:after="0"/>
              <w:ind w:left="1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© 2013 Antonio Candelieri, Raul Sormani, Gaia Arosio, Ila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hyperlink r:id="rId11" w:history="1">
                <w:r>
                  <w:rPr>
                    <w:rStyle w:val="Hyperlink"/>
                  </w:rPr>
                  <w:t>ria Giordani, France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sco Archetti. Published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2013 The Authors. Published by Elsevier B.V.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Elsevier B.V.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264" w:lineRule="auto" w:before="810" w:after="0"/>
        <w:ind w:left="664" w:right="5904" w:firstLine="0"/>
        <w:jc w:val="left"/>
      </w:pPr>
      <w:r>
        <w:rPr>
          <w:rFonts w:ascii="Arial" w:hAnsi="Arial" w:eastAsia="Arial"/>
          <w:b w:val="0"/>
          <w:i w:val="0"/>
          <w:color w:val="221F1F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Corresponding author. Tel.: +39-02-6448-2184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E-mail address: antonio.candelieri@unimib.it </w:t>
      </w:r>
    </w:p>
    <w:p>
      <w:pPr>
        <w:autoSpaceDN w:val="0"/>
        <w:autoSpaceDE w:val="0"/>
        <w:widowControl/>
        <w:spacing w:line="200" w:lineRule="exact" w:before="1912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10.1016/j.aasri.2013.10.006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9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Antonio Candelieri et al. /  AASRI Procedia  4 ( 2013 )  31 – 36 </w:t>
      </w:r>
    </w:p>
    <w:p>
      <w:pPr>
        <w:autoSpaceDN w:val="0"/>
        <w:autoSpaceDE w:val="0"/>
        <w:widowControl/>
        <w:spacing w:line="178" w:lineRule="exact" w:before="364" w:after="0"/>
        <w:ind w:left="3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structural health assessment; machine learning; support vector machines; artificial neural networks </w:t>
      </w:r>
    </w:p>
    <w:p>
      <w:pPr>
        <w:autoSpaceDN w:val="0"/>
        <w:autoSpaceDE w:val="0"/>
        <w:widowControl/>
        <w:spacing w:line="222" w:lineRule="exact" w:before="466" w:after="0"/>
        <w:ind w:left="3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0" w:after="0"/>
        <w:ind w:left="342" w:right="3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Frequent and accurate maintenance is relevant for helicopters structure as well as particularly challenging.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Finite Element Method (FEM) has been proposed to model the direct relation between damage and strain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(Katsikeros and Labeas, 2009; Zienkiewicz, Taylor and Zhu, 2005), while the inverse relation is usually more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difficult but in really simple cases. Respect to this, estimation of center and size of a damage on an helicopter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fuselage panel, according to the strain acquired through a monitoring sensor network, is a really complex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usually ill posed task (Maniatty and Park, 2005; Song and Gu, 2008). </w:t>
      </w:r>
    </w:p>
    <w:p>
      <w:pPr>
        <w:autoSpaceDN w:val="0"/>
        <w:autoSpaceDE w:val="0"/>
        <w:widowControl/>
        <w:spacing w:line="240" w:lineRule="exact" w:before="0" w:after="0"/>
        <w:ind w:left="342" w:right="3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Recently, the application of machine learning approaches to the identification of a possible reliable relation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strain to damage characteristics have gained new interest. The most commonly adopted techniques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related to the Artificial Neural Network (ANN) learning paradigm, in particular aiming at estimating damage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features as well as how it affects the remaining useful life (Sbarufatti et al. 2011a,b, Guez and Ahmad, 1988;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Hoole, 1993); a sufficiently wide review on the adoption of ANN for structural health assessment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helicopters can be found in Trivailo et al., 2006. The authors of this paper have also presented in Candelieri 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al, 2013 an extended approach based on hierarchies of ANN to provide decision support in structural health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assessment, in particular </w:t>
      </w:r>
      <w:r>
        <w:rPr>
          <w:rFonts w:ascii="Times" w:hAnsi="Times" w:eastAsia="Times"/>
          <w:b w:val="0"/>
          <w:i/>
          <w:color w:val="221F1F"/>
          <w:sz w:val="20"/>
        </w:rPr>
        <w:t>diagnosis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– consisting of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detecting a possible damage, </w:t>
      </w:r>
      <w:r>
        <w:rPr>
          <w:rFonts w:ascii="Times" w:hAnsi="Times" w:eastAsia="Times"/>
          <w:b w:val="0"/>
          <w:i/>
          <w:color w:val="221F1F"/>
          <w:sz w:val="20"/>
        </w:rPr>
        <w:t>ii)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identifying the affected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component (i.e., bay or stringer) and </w:t>
      </w:r>
      <w:r>
        <w:rPr>
          <w:rFonts w:ascii="Times" w:hAnsi="Times" w:eastAsia="Times"/>
          <w:b w:val="0"/>
          <w:i/>
          <w:color w:val="221F1F"/>
          <w:sz w:val="20"/>
        </w:rPr>
        <w:t>iii)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estimating the damage centre and size – and </w:t>
      </w:r>
      <w:r>
        <w:rPr>
          <w:rFonts w:ascii="Times" w:hAnsi="Times" w:eastAsia="Times"/>
          <w:b w:val="0"/>
          <w:i/>
          <w:color w:val="221F1F"/>
          <w:sz w:val="20"/>
        </w:rPr>
        <w:t>prognosis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– estimation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remaining useful life according to the estimation of damage propagation. </w:t>
      </w:r>
    </w:p>
    <w:p>
      <w:pPr>
        <w:autoSpaceDN w:val="0"/>
        <w:autoSpaceDE w:val="0"/>
        <w:widowControl/>
        <w:spacing w:line="247" w:lineRule="auto" w:before="18" w:after="0"/>
        <w:ind w:left="342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 this paper the adoption of a Support Vector Machines (SVM) classification framework, based on meta-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heuristic techniques, is investigated with the aim to improve performances of the diagnosis task, in particular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detection of the damage and the identification of the affected component. The adopted SVM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framework has been proposed by Candelieri and Conforti, 2011 and has been already successfully applied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health domain (Candelieri and Conforti 2010). </w:t>
      </w:r>
    </w:p>
    <w:p>
      <w:pPr>
        <w:autoSpaceDN w:val="0"/>
        <w:autoSpaceDE w:val="0"/>
        <w:widowControl/>
        <w:spacing w:line="245" w:lineRule="auto" w:before="18" w:after="0"/>
        <w:ind w:left="342" w:right="3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rest of the paper is organized as follows: section 2 presents the data preparation and pre-processing,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tasks, section 3 provides a general overview of the SVM classification framework, section 4 reports results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compare them with the performances obtained by the previous results presented in Candelieri et al. 2013.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Finally, some conclusions and planned future works are reported. </w:t>
      </w:r>
    </w:p>
    <w:p>
      <w:pPr>
        <w:autoSpaceDN w:val="0"/>
        <w:autoSpaceDE w:val="0"/>
        <w:widowControl/>
        <w:spacing w:line="222" w:lineRule="exact" w:before="258" w:after="0"/>
        <w:ind w:left="3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Dataset preparation and pre-processing </w:t>
      </w:r>
    </w:p>
    <w:p>
      <w:pPr>
        <w:autoSpaceDN w:val="0"/>
        <w:autoSpaceDE w:val="0"/>
        <w:widowControl/>
        <w:spacing w:line="247" w:lineRule="auto" w:before="258" w:after="0"/>
        <w:ind w:left="342" w:right="39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available dataset consists of strain measurements (features) in correspondence of different monitoring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points on a helicopter fuselage panel. The reference structure is an aluminum panel and damage can affect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both the main components of the panel,that are bay or the stringer. A stringer is a metal component, similar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“L”, fixed to panel by several rivets and holding together two adjacent bays, while a bay is a sheet between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two stringers. Each panel consists of 3 bays and 4 stringers and its overall size is 50x60 cm. </w:t>
      </w:r>
    </w:p>
    <w:p>
      <w:pPr>
        <w:autoSpaceDN w:val="0"/>
        <w:autoSpaceDE w:val="0"/>
        <w:widowControl/>
        <w:spacing w:line="247" w:lineRule="auto" w:before="18" w:after="0"/>
        <w:ind w:left="342" w:right="39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FE simulation software is the most effective and efficient solution to generate a wide set of instances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without the excessive costs related to a real world damage data acquisition campaign. The FE simulation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software used in this study (Katsikeros and Labeas, 2009) was developed by a research group that is partner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HECTOR project (http://hector.mecc.polimi.it/). This tool is able to model any type of panel and damage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provide strain values by setting up a number of parameters (i.e., material of the panel, damaged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component, damage centre, tensions applied to the panel). Moreover, a dataset containing real measurements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acquired by a set of sensing devices, namely Fibre Bragg Gratings (FBG) (Hideki et al., 2006; Heredero et al.,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2008; Chandler et al., 2008; Fernandez-Lopez et al., 2008) installed on a real panel subjected to a load applied </w:t>
      </w:r>
    </w:p>
    <w:p>
      <w:pPr>
        <w:sectPr>
          <w:pgSz w:w="10885" w:h="14854"/>
          <w:pgMar w:top="368" w:right="596" w:bottom="918" w:left="652" w:header="720" w:footer="720" w:gutter="0"/>
          <w:cols w:space="720" w:num="1" w:equalWidth="0"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84" w:val="left"/>
        </w:tabs>
        <w:autoSpaceDE w:val="0"/>
        <w:widowControl/>
        <w:spacing w:line="176" w:lineRule="exact" w:before="0" w:after="0"/>
        <w:ind w:left="274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Antonio Candelieri et al. /  AASRI Procedia  4 ( 2013 )  31 – 36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33</w:t>
      </w:r>
    </w:p>
    <w:p>
      <w:pPr>
        <w:autoSpaceDN w:val="0"/>
        <w:autoSpaceDE w:val="0"/>
        <w:widowControl/>
        <w:spacing w:line="245" w:lineRule="auto" w:before="370" w:after="0"/>
        <w:ind w:left="190" w:right="4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a mechanical tool – Upper Gripping system – has been taken into account. Damages centers and sizes have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been generated by sampling from the same uniform distribution in order to be independent among them (i.i.d.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samples). The following figure depicts the fuselage and the panel of an helicopter, as represented in the FE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simulation software as well as it is in the real world. </w:t>
      </w:r>
    </w:p>
    <w:p>
      <w:pPr>
        <w:autoSpaceDN w:val="0"/>
        <w:autoSpaceDE w:val="0"/>
        <w:widowControl/>
        <w:spacing w:line="240" w:lineRule="auto" w:before="4" w:after="0"/>
        <w:ind w:left="65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29200" cy="12509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0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6" w:after="0"/>
        <w:ind w:left="288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 – A portion of the fuselage of a helicopter (left) and a smaller portion related to the more stressed area (centre) with the strain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values as obtained by FE simulation and, finally, a real panel of an helicopter fuselage with stringers and bays indicated (right) </w:t>
      </w:r>
    </w:p>
    <w:p>
      <w:pPr>
        <w:autoSpaceDN w:val="0"/>
        <w:autoSpaceDE w:val="0"/>
        <w:widowControl/>
        <w:spacing w:line="245" w:lineRule="auto" w:before="258" w:after="0"/>
        <w:ind w:left="190" w:right="49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Dataset was built by setting 7 different vertical lines of sensors in the FE simulation software: 3 on bays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4 on the correspondent stringers. On each vertical line, strains are measured at 201 equidistant points,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therefore 7x201=1407 overall strain measurements on each panel have been considered. </w:t>
      </w:r>
    </w:p>
    <w:p>
      <w:pPr>
        <w:autoSpaceDN w:val="0"/>
        <w:autoSpaceDE w:val="0"/>
        <w:widowControl/>
        <w:spacing w:line="230" w:lineRule="auto" w:before="18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following Table 1 summarizes characteristics of the dataset. </w:t>
      </w:r>
    </w:p>
    <w:p>
      <w:pPr>
        <w:autoSpaceDN w:val="0"/>
        <w:autoSpaceDE w:val="0"/>
        <w:widowControl/>
        <w:spacing w:line="247" w:lineRule="auto" w:before="222" w:after="246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 – Characteristics of dataset built through FE simulation (all the instances have 1407 features related to the strain at the monitoring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points).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.99999999999989" w:type="dxa"/>
      </w:tblPr>
      <w:tblGrid>
        <w:gridCol w:w="3193"/>
        <w:gridCol w:w="3193"/>
        <w:gridCol w:w="3193"/>
      </w:tblGrid>
      <w:tr>
        <w:trPr>
          <w:trHeight w:hRule="exact" w:val="196"/>
        </w:trPr>
        <w:tc>
          <w:tcPr>
            <w:tcW w:type="dxa" w:w="1044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Type </w:t>
            </w:r>
          </w:p>
        </w:tc>
        <w:tc>
          <w:tcPr>
            <w:tcW w:type="dxa" w:w="1560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Number </w:t>
            </w:r>
          </w:p>
        </w:tc>
        <w:tc>
          <w:tcPr>
            <w:tcW w:type="dxa" w:w="6458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Further Available Information </w:t>
            </w:r>
          </w:p>
        </w:tc>
      </w:tr>
      <w:tr>
        <w:trPr>
          <w:trHeight w:hRule="exact" w:val="182"/>
        </w:trPr>
        <w:tc>
          <w:tcPr>
            <w:tcW w:type="dxa" w:w="104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No damage </w:t>
            </w:r>
          </w:p>
        </w:tc>
        <w:tc>
          <w:tcPr>
            <w:tcW w:type="dxa" w:w="1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1 instance from FE </w:t>
            </w:r>
          </w:p>
        </w:tc>
        <w:tc>
          <w:tcPr>
            <w:tcW w:type="dxa" w:w="645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This instance is duplicated by adding Gaussian noise (5%) in order to obtain a comparable </w:t>
            </w:r>
          </w:p>
        </w:tc>
      </w:tr>
      <w:tr>
        <w:trPr>
          <w:trHeight w:hRule="exact" w:val="80"/>
        </w:trPr>
        <w:tc>
          <w:tcPr>
            <w:tcW w:type="dxa" w:w="319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5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simulation; </w:t>
            </w:r>
          </w:p>
        </w:tc>
        <w:tc>
          <w:tcPr>
            <w:tcW w:type="dxa" w:w="319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98"/>
        </w:trPr>
        <w:tc>
          <w:tcPr>
            <w:tcW w:type="dxa" w:w="319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3193"/>
            <w:vMerge/>
            <w:tcBorders>
              <w:bottom w:sz="4.0" w:val="single" w:color="#000000"/>
            </w:tcBorders>
          </w:tcPr>
          <w:p/>
        </w:tc>
        <w:tc>
          <w:tcPr>
            <w:tcW w:type="dxa" w:w="64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number of instances with respect to the other class (damage on bay and damage on stringer) </w:t>
            </w:r>
          </w:p>
        </w:tc>
      </w:tr>
    </w:tbl>
    <w:p>
      <w:pPr>
        <w:autoSpaceDN w:val="0"/>
        <w:autoSpaceDE w:val="0"/>
        <w:widowControl/>
        <w:spacing w:line="233" w:lineRule="auto" w:before="4" w:after="4"/>
        <w:ind w:left="0" w:right="37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- Coordinates (x and y) of the damage centre;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.99999999999989" w:type="dxa"/>
      </w:tblPr>
      <w:tblGrid>
        <w:gridCol w:w="3193"/>
        <w:gridCol w:w="3193"/>
        <w:gridCol w:w="3193"/>
      </w:tblGrid>
      <w:tr>
        <w:trPr>
          <w:trHeight w:hRule="exact" w:val="172"/>
        </w:trPr>
        <w:tc>
          <w:tcPr>
            <w:tcW w:type="dxa" w:w="1104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Crack on bay </w:t>
            </w:r>
          </w:p>
        </w:tc>
        <w:tc>
          <w:tcPr>
            <w:tcW w:type="dxa" w:w="106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3570 </w:t>
            </w:r>
          </w:p>
        </w:tc>
        <w:tc>
          <w:tcPr>
            <w:tcW w:type="dxa" w:w="6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 Damage size (mm); </w:t>
            </w:r>
          </w:p>
        </w:tc>
      </w:tr>
      <w:tr>
        <w:trPr>
          <w:trHeight w:hRule="exact" w:val="198"/>
        </w:trPr>
        <w:tc>
          <w:tcPr>
            <w:tcW w:type="dxa" w:w="3193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193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6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LEFT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 xml:space="preserve">RIGHT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: strain intensity factors used to estimated the horizontal evolution of the </w:t>
            </w:r>
          </w:p>
        </w:tc>
      </w:tr>
      <w:tr>
        <w:trPr>
          <w:trHeight w:hRule="exact" w:val="186"/>
        </w:trPr>
        <w:tc>
          <w:tcPr>
            <w:tcW w:type="dxa" w:w="3193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3193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689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damage via NASGRO equation (Forman and Mettu, 2009); </w:t>
            </w:r>
          </w:p>
        </w:tc>
      </w:tr>
    </w:tbl>
    <w:p>
      <w:pPr>
        <w:autoSpaceDN w:val="0"/>
        <w:autoSpaceDE w:val="0"/>
        <w:widowControl/>
        <w:spacing w:line="230" w:lineRule="auto" w:before="8" w:after="4"/>
        <w:ind w:left="0" w:right="37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- Coordinates (x and y) of the damage centre;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193"/>
        <w:gridCol w:w="3193"/>
        <w:gridCol w:w="3193"/>
      </w:tblGrid>
      <w:tr>
        <w:trPr>
          <w:trHeight w:hRule="exact" w:val="168"/>
        </w:trPr>
        <w:tc>
          <w:tcPr>
            <w:tcW w:type="dxa" w:w="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Crack on </w:t>
            </w:r>
          </w:p>
        </w:tc>
        <w:tc>
          <w:tcPr>
            <w:tcW w:type="dxa" w:w="12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8098 </w:t>
            </w:r>
          </w:p>
        </w:tc>
        <w:tc>
          <w:tcPr>
            <w:tcW w:type="dxa" w:w="6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 Damage size (mm); </w:t>
            </w:r>
          </w:p>
        </w:tc>
      </w:tr>
      <w:tr>
        <w:trPr>
          <w:trHeight w:hRule="exact" w:val="204"/>
        </w:trPr>
        <w:tc>
          <w:tcPr>
            <w:tcW w:type="dxa" w:w="97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stringer </w:t>
            </w:r>
          </w:p>
        </w:tc>
        <w:tc>
          <w:tcPr>
            <w:tcW w:type="dxa" w:w="3193"/>
            <w:vMerge/>
            <w:tcBorders>
              <w:bottom w:sz="4.0" w:val="single" w:color="#000000"/>
            </w:tcBorders>
          </w:tcPr>
          <w:p/>
        </w:tc>
        <w:tc>
          <w:tcPr>
            <w:tcW w:type="dxa" w:w="6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-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LEFT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RIGHT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: strain intensity factors used to estimated the horizontal evolution of the </w:t>
            </w:r>
          </w:p>
        </w:tc>
      </w:tr>
      <w:tr>
        <w:trPr>
          <w:trHeight w:hRule="exact" w:val="188"/>
        </w:trPr>
        <w:tc>
          <w:tcPr>
            <w:tcW w:type="dxa" w:w="3193"/>
            <w:vMerge/>
            <w:tcBorders>
              <w:bottom w:sz="4.0" w:val="single" w:color="#000000"/>
            </w:tcBorders>
          </w:tcPr>
          <w:p/>
        </w:tc>
        <w:tc>
          <w:tcPr>
            <w:tcW w:type="dxa" w:w="3193"/>
            <w:vMerge/>
            <w:tcBorders>
              <w:bottom w:sz="4.0" w:val="single" w:color="#000000"/>
            </w:tcBorders>
          </w:tcPr>
          <w:p/>
        </w:tc>
        <w:tc>
          <w:tcPr>
            <w:tcW w:type="dxa" w:w="689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damage via NASGRO equation Forman and Mettu, 2009); </w:t>
            </w:r>
          </w:p>
        </w:tc>
      </w:tr>
    </w:tbl>
    <w:p>
      <w:pPr>
        <w:autoSpaceDN w:val="0"/>
        <w:autoSpaceDE w:val="0"/>
        <w:widowControl/>
        <w:spacing w:line="245" w:lineRule="auto" w:before="246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technical requirements successively identified in the HECTOR project, the suitable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real sensors has been set to 20, corresponding to 4 vertical lines (only on stringers) with 5 sensors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for each line. A pre-processing step has been performed to create a mapping between the positions of the real-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world sensors network and the locations previously considered into the FE simulation model. </w:t>
      </w:r>
    </w:p>
    <w:p>
      <w:pPr>
        <w:autoSpaceDN w:val="0"/>
        <w:tabs>
          <w:tab w:pos="428" w:val="left"/>
        </w:tabs>
        <w:autoSpaceDE w:val="0"/>
        <w:widowControl/>
        <w:spacing w:line="226" w:lineRule="exact" w:before="2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second pre-processing step has regarded data normalization: all tension values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were transformed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follows </w:t>
      </w:r>
    </w:p>
    <w:p>
      <w:pPr>
        <w:autoSpaceDN w:val="0"/>
        <w:tabs>
          <w:tab w:pos="4986" w:val="left"/>
        </w:tabs>
        <w:autoSpaceDE w:val="0"/>
        <w:widowControl/>
        <w:spacing w:line="240" w:lineRule="auto" w:before="20" w:after="0"/>
        <w:ind w:left="344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1200" cy="44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44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4953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6" w:lineRule="exact" w:before="70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/>
          <w:color w:val="221F1F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-th strain value and 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overall number of strain measurements. Normalization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needed to remove the effect of the load in order to compare strain fields with respect to the damage and not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load applied, as already suggested in Katsikeros and Labeas, 2009 and Sbarufatti et al, 2011. The two pre-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processing steps have to be performed anytime sensors network is reconfigured. </w:t>
      </w:r>
    </w:p>
    <w:p>
      <w:pPr>
        <w:sectPr>
          <w:pgSz w:w="10885" w:h="14854"/>
          <w:pgMar w:top="368" w:right="532" w:bottom="798" w:left="774" w:header="720" w:footer="720" w:gutter="0"/>
          <w:cols w:space="720" w:num="1" w:equalWidth="0">
            <w:col w:w="958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9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Antonio Candelieri et al. /  AASRI Procedia  4 ( 2013 )  31 – 36 </w:t>
      </w:r>
    </w:p>
    <w:p>
      <w:pPr>
        <w:autoSpaceDN w:val="0"/>
        <w:autoSpaceDE w:val="0"/>
        <w:widowControl/>
        <w:spacing w:line="222" w:lineRule="exact" w:before="372" w:after="0"/>
        <w:ind w:left="30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SVM Classification Framework and overall study design </w:t>
      </w:r>
    </w:p>
    <w:p>
      <w:pPr>
        <w:autoSpaceDN w:val="0"/>
        <w:autoSpaceDE w:val="0"/>
        <w:widowControl/>
        <w:spacing w:line="240" w:lineRule="exact" w:before="240" w:after="0"/>
        <w:ind w:left="30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Two strategies are usually applied for real world classification problem: searching for the most performing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configuration of a single classification learning strategy (</w:t>
      </w:r>
      <w:r>
        <w:rPr>
          <w:rFonts w:ascii="Times" w:hAnsi="Times" w:eastAsia="Times"/>
          <w:b w:val="0"/>
          <w:i/>
          <w:color w:val="221F1F"/>
          <w:sz w:val="20"/>
        </w:rPr>
        <w:t>Model Selection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or combining different classifiers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trained on the same dataset (</w:t>
      </w:r>
      <w:r>
        <w:rPr>
          <w:rFonts w:ascii="Times" w:hAnsi="Times" w:eastAsia="Times"/>
          <w:b w:val="0"/>
          <w:i/>
          <w:color w:val="221F1F"/>
          <w:sz w:val="20"/>
        </w:rPr>
        <w:t>Ensemble Learning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through Simple or Weighted Voting System (Valentini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Masulli, 2002). Respect to kernel-based learning strategies (e.g., SVM classification), another crucial issue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consists in selecting a suitable combination of basic kernels (typically linear combination): this task represents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extension of </w:t>
      </w:r>
      <w:r>
        <w:rPr>
          <w:rFonts w:ascii="Times" w:hAnsi="Times" w:eastAsia="Times"/>
          <w:b w:val="0"/>
          <w:i/>
          <w:color w:val="221F1F"/>
          <w:sz w:val="20"/>
        </w:rPr>
        <w:t>Model Selection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is usually known as </w:t>
      </w:r>
      <w:r>
        <w:rPr>
          <w:rFonts w:ascii="Times" w:hAnsi="Times" w:eastAsia="Times"/>
          <w:b w:val="0"/>
          <w:i/>
          <w:color w:val="221F1F"/>
          <w:sz w:val="20"/>
        </w:rPr>
        <w:t>Multiple Kernel Learning.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Candelieri and Conforti,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2010 and 2011 proposed a high-level classification learning framework based on SVM and meta-heuristics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aimed at searching for the most reliable classifier that may be obtained through Model Selection, Multiple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Kernel Learning and Ensemble Learning at the same time. Wider is the number of configurations to be tested,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higher is the probability to obtain a reliable decision model, however higher is the computational time.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Adopting meta-heuristics avoids bad-performing configurations by “moving” through promising classifiers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in Candelieri and Conforti 2010 and 2011 the best choice proved to be the use of Genetic Algorithms. </w:t>
      </w:r>
    </w:p>
    <w:p>
      <w:pPr>
        <w:autoSpaceDN w:val="0"/>
        <w:autoSpaceDE w:val="0"/>
        <w:widowControl/>
        <w:spacing w:line="245" w:lineRule="auto" w:before="18" w:after="0"/>
        <w:ind w:left="300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Respect to the previous work of Candelieri et al. 2013, related to hierarchies of ANNs to realize diagnosis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prognosis tasks in structural health assessment of helicopter fuselage panels, the tasks of damage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 and identification of the involved components are here performed through the SVM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framework, as depicted in the following Fig. 2. </w:t>
      </w:r>
    </w:p>
    <w:p>
      <w:pPr>
        <w:autoSpaceDN w:val="0"/>
        <w:autoSpaceDE w:val="0"/>
        <w:widowControl/>
        <w:spacing w:line="240" w:lineRule="auto" w:before="4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7009" cy="40855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009" cy="4085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" w:after="0"/>
        <w:ind w:left="30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 – Diagnosis task performed by using SVM classification framework to detect a possible damage and identify the involved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component (bay or stringer). At the bottom two ANNs, one for damage on bay and one for damage on stringer respectively, devoted to </w:t>
      </w:r>
    </w:p>
    <w:p>
      <w:pPr>
        <w:sectPr>
          <w:pgSz w:w="10885" w:h="14854"/>
          <w:pgMar w:top="368" w:right="596" w:bottom="796" w:left="652" w:header="720" w:footer="720" w:gutter="0"/>
          <w:cols w:space="720" w:num="1" w:equalWidth="0">
            <w:col w:w="9638" w:space="0"/>
            <w:col w:w="958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68" w:val="left"/>
        </w:tabs>
        <w:autoSpaceDE w:val="0"/>
        <w:widowControl/>
        <w:spacing w:line="176" w:lineRule="exact" w:before="0" w:after="0"/>
        <w:ind w:left="27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Antonio Candelieri et al. /  AASRI Procedia  4 ( 2013 )  31 – 36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35</w:t>
      </w:r>
    </w:p>
    <w:p>
      <w:pPr>
        <w:autoSpaceDN w:val="0"/>
        <w:tabs>
          <w:tab w:pos="436" w:val="left"/>
        </w:tabs>
        <w:autoSpaceDE w:val="0"/>
        <w:widowControl/>
        <w:spacing w:line="247" w:lineRule="auto" w:before="376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the further characterization of the damage (i.e., centre and size), as already presented in the previous work of Candelieri et al. 2013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detail, detection of a possible damage and identification of affected component have been developed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two different strategies. In the first (left side of the Fig. 2) a SVM is used to discriminate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“damage” and “no damage” and another SVM is then used – if a damage have been detected –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differentiate between “damage on stringer” and “damage on bay”. In the second strategy (right side of the Fig.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2) a SVM is used to discriminate between “damage on stringer” and “no damage on stringer” and a second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SVM is then used – if no damages are detected on stringer – to differentiate between “damage on bay”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“no damage”. The last strategy resulted the most reliable in the previous work of Candelieri et al, 2013.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Results </w:t>
      </w:r>
    </w:p>
    <w:p>
      <w:pPr>
        <w:autoSpaceDN w:val="0"/>
        <w:autoSpaceDE w:val="0"/>
        <w:widowControl/>
        <w:spacing w:line="247" w:lineRule="auto" w:before="258" w:after="0"/>
        <w:ind w:left="192" w:right="4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following Table 2 summarizes results obtained by the application of the SVM classification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framework for the detection of possible damage and the identification of the affected component, according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two different approaches proposed and depicted in the previous Fig. 2. In table 2 results obtained by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ANN hierarchies based system (Candelieri et al. 2013) are also reported, for a comparison. Respect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previous authors’ work, in this case the discrimination between first approach resulted the most promising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reliable. </w:t>
      </w:r>
    </w:p>
    <w:p>
      <w:pPr>
        <w:autoSpaceDN w:val="0"/>
        <w:autoSpaceDE w:val="0"/>
        <w:widowControl/>
        <w:spacing w:line="230" w:lineRule="auto" w:before="224" w:after="246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2 – Results: comparison with previous study.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3188"/>
        <w:gridCol w:w="3188"/>
        <w:gridCol w:w="3188"/>
      </w:tblGrid>
      <w:tr>
        <w:trPr>
          <w:trHeight w:hRule="exact" w:val="186"/>
        </w:trPr>
        <w:tc>
          <w:tcPr>
            <w:tcW w:type="dxa" w:w="2166"/>
            <w:vMerge w:val="restart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Task </w:t>
            </w:r>
          </w:p>
        </w:tc>
        <w:tc>
          <w:tcPr>
            <w:tcW w:type="dxa" w:w="394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8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Best Accuracy </w:t>
            </w:r>
          </w:p>
        </w:tc>
        <w:tc>
          <w:tcPr>
            <w:tcW w:type="dxa" w:w="295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Best Accuracy </w:t>
            </w:r>
          </w:p>
        </w:tc>
      </w:tr>
      <w:tr>
        <w:trPr>
          <w:trHeight w:hRule="exact" w:val="80"/>
        </w:trPr>
        <w:tc>
          <w:tcPr>
            <w:tcW w:type="dxa" w:w="3188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88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9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(on three folds cross validation) </w:t>
            </w:r>
          </w:p>
        </w:tc>
      </w:tr>
      <w:tr>
        <w:trPr>
          <w:trHeight w:hRule="exact" w:val="100"/>
        </w:trPr>
        <w:tc>
          <w:tcPr>
            <w:tcW w:type="dxa" w:w="3188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9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3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(on 3 folds cross validation) </w:t>
            </w:r>
          </w:p>
        </w:tc>
        <w:tc>
          <w:tcPr>
            <w:tcW w:type="dxa" w:w="3188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188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88"/>
            <w:vMerge/>
            <w:tcBorders>
              <w:bottom w:sz="4.0" w:val="single" w:color="#000000"/>
            </w:tcBorders>
          </w:tcPr>
          <w:p/>
        </w:tc>
        <w:tc>
          <w:tcPr>
            <w:tcW w:type="dxa" w:w="295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Previous Study: ANN hierarchies </w:t>
            </w:r>
          </w:p>
        </w:tc>
      </w:tr>
    </w:tbl>
    <w:p>
      <w:pPr>
        <w:autoSpaceDN w:val="0"/>
        <w:autoSpaceDE w:val="0"/>
        <w:widowControl/>
        <w:spacing w:line="233" w:lineRule="auto" w:before="4" w:after="2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First Approach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3188"/>
        <w:gridCol w:w="3188"/>
        <w:gridCol w:w="3188"/>
      </w:tblGrid>
      <w:tr>
        <w:trPr>
          <w:trHeight w:hRule="exact" w:val="176"/>
        </w:trPr>
        <w:tc>
          <w:tcPr>
            <w:tcW w:type="dxa" w:w="3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Damage/No Damage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99.92% </w:t>
            </w:r>
          </w:p>
        </w:tc>
        <w:tc>
          <w:tcPr>
            <w:tcW w:type="dxa" w:w="28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80.02% </w:t>
            </w:r>
          </w:p>
        </w:tc>
      </w:tr>
      <w:tr>
        <w:trPr>
          <w:trHeight w:hRule="exact" w:val="198"/>
        </w:trPr>
        <w:tc>
          <w:tcPr>
            <w:tcW w:type="dxa" w:w="36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Damage on Bay/Damage on Stringer  </w:t>
            </w:r>
          </w:p>
        </w:tc>
        <w:tc>
          <w:tcPr>
            <w:tcW w:type="dxa" w:w="25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99.97% </w:t>
            </w:r>
          </w:p>
        </w:tc>
        <w:tc>
          <w:tcPr>
            <w:tcW w:type="dxa" w:w="287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79.53% </w:t>
            </w:r>
          </w:p>
        </w:tc>
      </w:tr>
    </w:tbl>
    <w:p>
      <w:pPr>
        <w:autoSpaceDN w:val="0"/>
        <w:autoSpaceDE w:val="0"/>
        <w:widowControl/>
        <w:spacing w:line="230" w:lineRule="auto" w:before="8" w:after="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Second Approach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3188"/>
        <w:gridCol w:w="3188"/>
        <w:gridCol w:w="3188"/>
      </w:tblGrid>
      <w:tr>
        <w:trPr>
          <w:trHeight w:hRule="exact" w:val="17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Damage on Stringer/No Damage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93.40% </w:t>
            </w:r>
          </w:p>
        </w:tc>
        <w:tc>
          <w:tcPr>
            <w:tcW w:type="dxa" w:w="28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84.86% </w:t>
            </w:r>
          </w:p>
        </w:tc>
      </w:tr>
      <w:tr>
        <w:trPr>
          <w:trHeight w:hRule="exact" w:val="200"/>
        </w:trPr>
        <w:tc>
          <w:tcPr>
            <w:tcW w:type="dxa" w:w="34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Damage on Bay/No Damage </w:t>
            </w:r>
          </w:p>
        </w:tc>
        <w:tc>
          <w:tcPr>
            <w:tcW w:type="dxa" w:w="27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99.73% </w:t>
            </w:r>
          </w:p>
        </w:tc>
        <w:tc>
          <w:tcPr>
            <w:tcW w:type="dxa" w:w="287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1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93.05% </w:t>
            </w:r>
          </w:p>
        </w:tc>
      </w:tr>
    </w:tbl>
    <w:p>
      <w:pPr>
        <w:autoSpaceDN w:val="0"/>
        <w:autoSpaceDE w:val="0"/>
        <w:widowControl/>
        <w:spacing w:line="222" w:lineRule="exact" w:before="48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Discussions and future works </w:t>
      </w:r>
    </w:p>
    <w:p>
      <w:pPr>
        <w:autoSpaceDN w:val="0"/>
        <w:autoSpaceDE w:val="0"/>
        <w:widowControl/>
        <w:spacing w:line="247" w:lineRule="auto" w:before="258" w:after="0"/>
        <w:ind w:left="192" w:right="4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reviews a previous decision support system for the assessment of structural health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helicopter fuselage panels based on hierarchies of ANNs (Candelieri et al. 2013). Although that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proved to be sufficiently reliable, authors have investigated the potential benefits offered by the adoption of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SVM classification framework to perform two specific tasks of the diagnosis process, in particular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 of a possible damage and the identification of the affected component (bay or stringer).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18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approach provided relevant improvements in terms of reliability on both tasks, offering overall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average performances higher than 99% and an increase between 6% and 20% respect to the previous results. </w:t>
      </w:r>
    </w:p>
    <w:p>
      <w:pPr>
        <w:autoSpaceDN w:val="0"/>
        <w:autoSpaceDE w:val="0"/>
        <w:widowControl/>
        <w:spacing w:line="245" w:lineRule="auto" w:before="18" w:after="0"/>
        <w:ind w:left="192" w:right="4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future works authors plan to extend the SVM classification framework to regression tasks, in order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improve also the other steps of the diagnosis and prognosis currently performed through ANN hierarchies,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are the estimation of damage centre and size (damage characterization) and the prediction of the damage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evolution over time.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6.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258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stems from the research project HECTOR (HEliCopter fuselage Crack moniToring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prognosis through on-board sensOR network) sponsored by the European Defence Agency (EDA). </w:t>
      </w:r>
    </w:p>
    <w:p>
      <w:pPr>
        <w:sectPr>
          <w:pgSz w:w="10885" w:h="14854"/>
          <w:pgMar w:top="368" w:right="532" w:bottom="790" w:left="790" w:header="720" w:footer="720" w:gutter="0"/>
          <w:cols w:space="720" w:num="1" w:equalWidth="0">
            <w:col w:w="9564" w:space="0"/>
            <w:col w:w="9638" w:space="0"/>
            <w:col w:w="958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9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Antonio Candelieri et al. /  AASRI Procedia  4 ( 2013 )  31 – 36 </w:t>
      </w:r>
    </w:p>
    <w:p>
      <w:pPr>
        <w:autoSpaceDN w:val="0"/>
        <w:autoSpaceDE w:val="0"/>
        <w:widowControl/>
        <w:spacing w:line="222" w:lineRule="exact" w:before="358" w:after="0"/>
        <w:ind w:left="30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4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Katsikeros CE, Labeas GN. Development and Validation of a Strain-based Structural Health Monitoring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System, Mechanical Systems and Signal Processing 2009; 23:372–383. </w:t>
      </w:r>
    </w:p>
    <w:p>
      <w:pPr>
        <w:autoSpaceDN w:val="0"/>
        <w:autoSpaceDE w:val="0"/>
        <w:widowControl/>
        <w:spacing w:line="245" w:lineRule="auto" w:before="10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Zienkiewicz OC, Taylor RL, Zhu JZ. The finite Element Method: Its Basis and Fundamentals. 6th Ed.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Butterworth-Heinemann; 2005.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Maniatty AM, Park E. Finite Element approach to inverse problems in dynamic elastography, Proceedings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the 5th International Conference on Inverse Problems in Engineering: Theory and Practice; 2005.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Song J, Gu RJ. A Finite Element Based Methodology for Inverse Problem of Determining Contact Forces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Using Measured Displacements, Proceedings of International Conference on Engineering Optimization; 2008.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Sbarufatti C, Manes A, Giglio M. Advanced stochastic FEM-based artificial neural network for crack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damage detection, Proceedings of Forth International Conference on Computational Methods for Coupled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Problems in Sciences and Engineering, Coupled Problems 2011; 2011. </w:t>
      </w:r>
    </w:p>
    <w:p>
      <w:pPr>
        <w:autoSpaceDN w:val="0"/>
        <w:autoSpaceDE w:val="0"/>
        <w:widowControl/>
        <w:spacing w:line="245" w:lineRule="auto" w:before="8" w:after="0"/>
        <w:ind w:left="300" w:right="4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Sbarufatti C, Manes A, Giglio M. ANN based Bayesian hierarchical model for crack detection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localization over helicopter fuselage panels’, Advances in Safety, Reliability and Risk Management, ESREL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2011; 378–385.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Guez A, Ahmad Z. Solution to the inverse kinematics problem in robotics by neural networks’,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of IEEE International Conference on Neural Networks; 1988;2:2617-624.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Hoole SRH. Artificial neural networks in the solution of inverse electromagnetic field problems,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Magnetics, IEEE Transactions on , 1993; 29(2):1931-1934.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Trivailo PM, Dulikravich GS, Sgarioto D, Gilbert T. Inverse problem of aircraft structural parameter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estimation: application of neural networks, Inverse Problems in Science Engineering, 2006;14(4):351-363.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Candelieri A, Sormani R, Arosio G, Giordani I, Archetti F. Assessing Structural Health of Helicopter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Fuselage Panels through Artificial Neural Networks Hierarchies, International Journal of Reliability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Safety, 2013 (in press).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Candelieri A, Conforti D. A Hyper-solution Framework for Classification Problems via Metaheuristic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Approaches. 4OR: A Quarterly Journal of Operations Research. Springer Berlin/Heidelberg. 2011; 9(4):425-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428. </w:t>
      </w:r>
    </w:p>
    <w:p>
      <w:pPr>
        <w:autoSpaceDN w:val="0"/>
        <w:autoSpaceDE w:val="0"/>
        <w:widowControl/>
        <w:spacing w:line="245" w:lineRule="auto" w:before="8" w:after="0"/>
        <w:ind w:left="300" w:right="4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Candelieri A, Conforti D. A Hyper-Solution Framework for SVM Classification: Application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Predicting Destabilizations in Chronic Heart Failure Patients. The Open Medical Informatics Journal.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2010;4:135-139. </w:t>
      </w:r>
    </w:p>
    <w:p>
      <w:pPr>
        <w:autoSpaceDN w:val="0"/>
        <w:autoSpaceDE w:val="0"/>
        <w:widowControl/>
        <w:spacing w:line="245" w:lineRule="auto" w:before="8" w:after="0"/>
        <w:ind w:left="300" w:right="4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[13] Hideki S, Shin-Etsu F, Tomonaga O, Nobuo T, Toshimitsu Jr Y. Structural health monitoring of cracked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aircraft panels repaired with bonded patches using fiber bragg grating sensors, Applied Composite Materials,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2006; 13(2):87 – 98. </w:t>
      </w:r>
    </w:p>
    <w:p>
      <w:pPr>
        <w:autoSpaceDN w:val="0"/>
        <w:autoSpaceDE w:val="0"/>
        <w:widowControl/>
        <w:spacing w:line="245" w:lineRule="auto" w:before="8" w:after="0"/>
        <w:ind w:left="300" w:right="4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[14] Heredero RL, Frövel M, Belenguer T, Barrera-Vilar D, Quirós FG, Garcia-Olcina R, Vague J, Sales 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Demonstration of the use of Fiber Bragg Grating for optical sensing (FIBOS) during an aerospace mission,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of the 4th European Workshop on Structural Health Monitoring, 2008; 833-839.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[15] Chandler K, Ferguson S, Graver T, Csipkes A, Mendez A. On-line structural health and fire monitoring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a composite personal aircraft using an FBG sensing system, Proceedings of SPIE - The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Society for Optical Engineering - Smart Sensor Phenomena, Technology, Networks, and Systems 2008; 6933.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[16] Fernández-López A, Güemes A, Gonzalez-Requena I, De Miguel-Giraldo C, Menéndez JM. Damage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detection in composite repair patches using embedded optical sensors’, Proceedings of the 4th European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Workshop on Structural Health Monitoring, 2008;818-824. </w:t>
      </w:r>
    </w:p>
    <w:p>
      <w:pPr>
        <w:autoSpaceDN w:val="0"/>
        <w:autoSpaceDE w:val="0"/>
        <w:widowControl/>
        <w:spacing w:line="245" w:lineRule="auto" w:before="8" w:after="0"/>
        <w:ind w:left="300" w:right="4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[17] Forman, R.G., and Mettu, S.R. (1992) ’Behavior of Surface and Corner Cracks Subjected to Tensile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Bending Loads in Ti-6A1-4V Alloy’, Fracture Mechanics, Twenty-second Symposium, Vol. 1, ASTM STP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1131, H. A. Ernst, A. Saxena, and D. L. McDowell, eds., American Society for Testing and Materials,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Philadelphia, 1992, pp. 519-546. </w:t>
      </w:r>
    </w:p>
    <w:p>
      <w:pPr>
        <w:autoSpaceDN w:val="0"/>
        <w:autoSpaceDE w:val="0"/>
        <w:widowControl/>
        <w:spacing w:line="245" w:lineRule="auto" w:before="8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[18] Valentini G, Masulli F. Ensemble methods, in Neural Nets. 2486 of lecture notes in computer science,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2002; 3–20. </w:t>
      </w:r>
    </w:p>
    <w:sectPr w:rsidR="00FC693F" w:rsidRPr="0006063C" w:rsidSect="00034616">
      <w:pgSz w:w="10885" w:h="14854"/>
      <w:pgMar w:top="368" w:right="596" w:bottom="796" w:left="652" w:header="720" w:footer="720" w:gutter="0"/>
      <w:cols w:space="720" w:num="1" w:equalWidth="0">
        <w:col w:w="9638" w:space="0"/>
        <w:col w:w="9564" w:space="0"/>
        <w:col w:w="9638" w:space="0"/>
        <w:col w:w="9580" w:space="0"/>
        <w:col w:w="963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