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07"/>
        <w:gridCol w:w="3207"/>
        <w:gridCol w:w="3207"/>
      </w:tblGrid>
      <w:tr>
        <w:trPr>
          <w:trHeight w:hRule="exact" w:val="26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453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683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80"/>
        </w:trPr>
        <w:tc>
          <w:tcPr>
            <w:tcW w:type="dxa" w:w="32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57729" cy="16890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29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7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32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3 ( 2012 )  209 – 216 </w:t>
            </w:r>
          </w:p>
        </w:tc>
        <w:tc>
          <w:tcPr>
            <w:tcW w:type="dxa" w:w="32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866" w:after="0"/>
        <w:ind w:left="144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2012 AASRI Conference on Modeling, Identification and Control </w:t>
      </w:r>
    </w:p>
    <w:p>
      <w:pPr>
        <w:autoSpaceDN w:val="0"/>
        <w:autoSpaceDE w:val="0"/>
        <w:widowControl/>
        <w:spacing w:line="245" w:lineRule="auto" w:before="264" w:after="0"/>
        <w:ind w:left="1152" w:right="1440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34"/>
        </w:rPr>
        <w:t xml:space="preserve">A Mining Model for the Worst Plot in the Mobile </w:t>
      </w:r>
      <w:r>
        <w:rPr>
          <w:rFonts w:ascii="TimesNewRoman" w:hAnsi="TimesNewRoman" w:eastAsia="TimesNewRoman"/>
          <w:b w:val="0"/>
          <w:i w:val="0"/>
          <w:color w:val="221F1F"/>
          <w:sz w:val="34"/>
        </w:rPr>
        <w:t xml:space="preserve">Communication Networks </w:t>
      </w:r>
    </w:p>
    <w:p>
      <w:pPr>
        <w:autoSpaceDN w:val="0"/>
        <w:autoSpaceDE w:val="0"/>
        <w:widowControl/>
        <w:spacing w:line="264" w:lineRule="auto" w:before="214" w:after="0"/>
        <w:ind w:left="18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6"/>
        </w:rPr>
        <w:t>Qi Zhang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26"/>
        </w:rPr>
        <w:t>, Ping Fu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b</w:t>
      </w:r>
      <w:r>
        <w:rPr>
          <w:rFonts w:ascii="TimesNewRoman" w:hAnsi="TimesNewRoman" w:eastAsia="TimesNewRoman"/>
          <w:b w:val="0"/>
          <w:i w:val="0"/>
          <w:color w:val="221F1F"/>
          <w:sz w:val="26"/>
        </w:rPr>
        <w:t>,Jinming Peng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26"/>
        </w:rPr>
        <w:t>, Daqiao Huang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a,</w:t>
      </w:r>
      <w:r>
        <w:rPr>
          <w:rFonts w:ascii="TimesNewRoman" w:hAnsi="TimesNewRoman" w:eastAsia="TimesNewRoman"/>
          <w:b w:val="0"/>
          <w:i w:val="0"/>
          <w:color w:val="221F1F"/>
          <w:sz w:val="26"/>
        </w:rPr>
        <w:t xml:space="preserve">* </w:t>
      </w:r>
    </w:p>
    <w:p>
      <w:pPr>
        <w:autoSpaceDN w:val="0"/>
        <w:autoSpaceDE w:val="0"/>
        <w:widowControl/>
        <w:spacing w:line="257" w:lineRule="auto" w:before="166" w:after="0"/>
        <w:ind w:left="576" w:right="864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221F1F"/>
          <w:sz w:val="10"/>
        </w:rPr>
        <w:t xml:space="preserve">a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Zhejiang Communications Services Co.,Ltd Network Technology Company, 310008 Hangzhou, P.R.China </w:t>
      </w:r>
      <w:r>
        <w:br/>
      </w:r>
      <w:r>
        <w:rPr>
          <w:rFonts w:ascii="TimesNewRoman,Italic" w:hAnsi="TimesNewRoman,Italic" w:eastAsia="TimesNewRoman,Italic"/>
          <w:b w:val="0"/>
          <w:i/>
          <w:color w:val="221F1F"/>
          <w:sz w:val="10"/>
        </w:rPr>
        <w:t>b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College of Computer Science and Information Engineering, Zhejiang Gongshang University, 310018 Hangzhou, P.R.China </w:t>
      </w:r>
    </w:p>
    <w:p>
      <w:pPr>
        <w:autoSpaceDN w:val="0"/>
        <w:autoSpaceDE w:val="0"/>
        <w:widowControl/>
        <w:spacing w:line="233" w:lineRule="auto" w:before="946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 xml:space="preserve">Abstract </w:t>
      </w:r>
    </w:p>
    <w:p>
      <w:pPr>
        <w:autoSpaceDN w:val="0"/>
        <w:autoSpaceDE w:val="0"/>
        <w:widowControl/>
        <w:spacing w:line="240" w:lineRule="auto" w:before="242" w:after="0"/>
        <w:ind w:left="190" w:right="538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W</w:t>
      </w:r>
      <w:r>
        <w:drawing>
          <wp:inline xmlns:a="http://schemas.openxmlformats.org/drawingml/2006/main" xmlns:pic="http://schemas.openxmlformats.org/drawingml/2006/picture">
            <wp:extent cx="1828800" cy="88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s coverage and capacity having reached a high level, providing the high-quality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network services for users becomes the primary task of the network operation management. The worst cells having the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worst quality are closely related with the network performance. In this paper, a mining model for digging out the worst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cells in wireless networks comes up. It uses AHP to determine the index weights and introduces these weights into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clustering algorithm. An example has verified its feasibility. Therefore, this model has certain significance on the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development and optimization of wireless networks. </w:t>
      </w:r>
    </w:p>
    <w:p>
      <w:pPr>
        <w:autoSpaceDN w:val="0"/>
        <w:autoSpaceDE w:val="0"/>
        <w:widowControl/>
        <w:spacing w:line="216" w:lineRule="exact" w:before="232" w:after="0"/>
        <w:ind w:left="198" w:right="720" w:hanging="8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© 2012 Published by Elsevier B.V. Selection and/or peer rev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hyperlink r:id="rId13" w:history="1">
          <w:r>
            <w:rPr>
              <w:rStyle w:val="Hyperlink"/>
            </w:rPr>
            <w:t>iew under responsi</w:t>
          </w:r>
        </w:hyperlink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bility of American Applied </w:t>
      </w:r>
      <w:r>
        <w:rPr>
          <w:rFonts w:ascii="Times" w:hAnsi="Times" w:eastAsia="Times"/>
          <w:b w:val="0"/>
          <w:i w:val="0"/>
          <w:color w:val="221F1F"/>
          <w:sz w:val="18"/>
        </w:rPr>
        <w:t>Selection and/or peer review under responsibility of American Applied Science Research Institute</w:t>
      </w:r>
    </w:p>
    <w:p>
      <w:pPr>
        <w:autoSpaceDN w:val="0"/>
        <w:autoSpaceDE w:val="0"/>
        <w:widowControl/>
        <w:spacing w:line="230" w:lineRule="auto" w:before="272" w:after="0"/>
        <w:ind w:left="19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Keywords: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Mining Model, AHP, Network Service, Index weight, clustering;</w:t>
      </w:r>
    </w:p>
    <w:p>
      <w:pPr>
        <w:autoSpaceDN w:val="0"/>
        <w:autoSpaceDE w:val="0"/>
        <w:widowControl/>
        <w:spacing w:line="230" w:lineRule="auto" w:before="464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1.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Introduction </w:t>
      </w:r>
    </w:p>
    <w:p>
      <w:pPr>
        <w:autoSpaceDN w:val="0"/>
        <w:autoSpaceDE w:val="0"/>
        <w:widowControl/>
        <w:spacing w:line="247" w:lineRule="auto" w:before="264" w:after="0"/>
        <w:ind w:left="190" w:right="536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Mobile communication is one of the most advanced ways for communication in the world. With its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network coverage and capacity having reached a high level, quality, cost and service are more concerned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about [1]. How to make the communication network to run at their best and provide users with high-quality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network services? They are the primary tasks of the network operation and management. The worst cells have </w:t>
      </w:r>
    </w:p>
    <w:p>
      <w:pPr>
        <w:autoSpaceDN w:val="0"/>
        <w:autoSpaceDE w:val="0"/>
        <w:widowControl/>
        <w:spacing w:line="245" w:lineRule="auto" w:before="576" w:after="0"/>
        <w:ind w:left="428" w:right="633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*Corresponding author. Tel.:13735530027. </w:t>
      </w:r>
      <w:r>
        <w:br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E-mail address: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fpmyself@126.com. </w:t>
      </w:r>
    </w:p>
    <w:p>
      <w:pPr>
        <w:autoSpaceDN w:val="0"/>
        <w:autoSpaceDE w:val="0"/>
        <w:widowControl/>
        <w:spacing w:line="200" w:lineRule="exact" w:before="1604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3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10.1016/j.aasri.2012.11.035 </w:t>
      </w:r>
    </w:p>
    <w:p>
      <w:pPr>
        <w:sectPr>
          <w:pgSz w:w="10885" w:h="14854"/>
          <w:pgMar w:top="438" w:right="640" w:bottom="218" w:left="624" w:header="720" w:footer="720" w:gutter="0"/>
          <w:cols w:space="720" w:num="1" w:equalWidth="0"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7162800</wp:posOffset>
            </wp:positionV>
            <wp:extent cx="622300" cy="1778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77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42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210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Qi Zhang et al. /  AASRI Procedia  3 ( 2012 )  209 – 216 </w:t>
      </w:r>
    </w:p>
    <w:p>
      <w:pPr>
        <w:autoSpaceDN w:val="0"/>
        <w:autoSpaceDE w:val="0"/>
        <w:widowControl/>
        <w:spacing w:line="250" w:lineRule="auto" w:before="398" w:after="0"/>
        <w:ind w:left="162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become the key indicators to measure the wireless quality in the mobile communication networks. At present,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one of the worst cells optimization problems is how to dig out the worst district efficiently. In the past, people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queried the worst cells just to rely on their definition [2], and the results only were the worst cells lists, which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couldn t show the extent of their "worst". In this paper, a mining model based on the clustering algorithm is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established to query the worst cells. It can not only dig out the worst cells efficiently, but also reflect their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"worst" and priorities of time so as to take optimization measures accurately. So we can say that it plays an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essential role in the optimization of wireless networks. </w:t>
      </w:r>
    </w:p>
    <w:p>
      <w:pPr>
        <w:autoSpaceDN w:val="0"/>
        <w:autoSpaceDE w:val="0"/>
        <w:widowControl/>
        <w:spacing w:line="230" w:lineRule="auto" w:before="260" w:after="0"/>
        <w:ind w:left="16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2.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Paper Preparation </w:t>
      </w:r>
    </w:p>
    <w:p>
      <w:pPr>
        <w:autoSpaceDN w:val="0"/>
        <w:autoSpaceDE w:val="0"/>
        <w:widowControl/>
        <w:spacing w:line="230" w:lineRule="auto" w:before="260" w:after="0"/>
        <w:ind w:left="16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2.1.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Select characteristic indicators </w:t>
      </w:r>
    </w:p>
    <w:p>
      <w:pPr>
        <w:autoSpaceDN w:val="0"/>
        <w:autoSpaceDE w:val="0"/>
        <w:widowControl/>
        <w:spacing w:line="247" w:lineRule="auto" w:before="260" w:after="0"/>
        <w:ind w:left="162" w:right="20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Select data indicators clearly and accurately, understanding that the purposes of data mining are important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steps in data mining [3]. In this model, choose seven variables which have great influence on the cells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performance as the characteristics description indicators, they are TCH Call Dropping Rate, Each Channel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Traffic, TCH call Dropping Number, TCH Connection Rate, TCH jam Number, TCH Jam Rate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Interference Number.[5] </w:t>
      </w:r>
    </w:p>
    <w:p>
      <w:pPr>
        <w:autoSpaceDN w:val="0"/>
        <w:autoSpaceDE w:val="0"/>
        <w:widowControl/>
        <w:spacing w:line="230" w:lineRule="auto" w:before="260" w:after="0"/>
        <w:ind w:left="16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2.2.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Data Collection and Data Preprocessing </w:t>
      </w:r>
    </w:p>
    <w:p>
      <w:pPr>
        <w:autoSpaceDN w:val="0"/>
        <w:autoSpaceDE w:val="0"/>
        <w:widowControl/>
        <w:spacing w:line="250" w:lineRule="auto" w:before="260" w:after="0"/>
        <w:ind w:left="162" w:right="22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 this model, the data preprocessing techniques such as vacancy value processing, data cleaning and data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transformation are mainly used. There are two kinds of processing methods to handle the vacancy value, one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is to use the default value for filling, and the other one is to delete the record. In this paper, use the second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method. Data cleaning mainly reduces data quantity which participates in modeling which called variable clip,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processing time and data capacity decrease relatively. [6][10] For example, in the same cells, TCH traffic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and each channel traffic has a strong positive correlation in statistical sense, so use one as the indicator in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model. Use digital code when deal with each channel traffic. According to the definition in the China Unicom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GSM nets mobile communication performance statistics system, when each channel traffic is more than 0.6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erl, call them super busy cells; when each channel traffic is between 0.1 erl and 0.6 erl, call them normal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service cells; when each channel traffic is less than 0.1 erl, call them super idle cells; convert them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respectively into 1, 2, 3. In addition, the dimension of indicators is not identical, which needs to make these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indicator data standardizing. </w:t>
      </w:r>
    </w:p>
    <w:p>
      <w:pPr>
        <w:autoSpaceDN w:val="0"/>
        <w:autoSpaceDE w:val="0"/>
        <w:widowControl/>
        <w:spacing w:line="230" w:lineRule="auto" w:before="260" w:after="0"/>
        <w:ind w:left="16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2.3.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Index weight Determination </w:t>
      </w:r>
    </w:p>
    <w:p>
      <w:pPr>
        <w:autoSpaceDN w:val="0"/>
        <w:autoSpaceDE w:val="0"/>
        <w:widowControl/>
        <w:spacing w:line="247" w:lineRule="auto" w:before="260" w:after="0"/>
        <w:ind w:left="162" w:right="22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above indexes for the target layers have different importance, in another words, they have different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weights. In this paper, use the method AHP (Analytic Hierarchy Process) to determine index weight.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method compare the importance between one index and another one, then establish the corresponding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judgment matrix, at lastly, solve the eigenvalue of the matrix [9]. </w:t>
      </w:r>
    </w:p>
    <w:p>
      <w:pPr>
        <w:autoSpaceDN w:val="0"/>
        <w:autoSpaceDE w:val="0"/>
        <w:widowControl/>
        <w:spacing w:line="233" w:lineRule="auto" w:before="18" w:after="214"/>
        <w:ind w:left="4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Assuming the weights of the first grade indexes: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8.0" w:type="dxa"/>
      </w:tblPr>
      <w:tblGrid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</w:tblGrid>
      <w:tr>
        <w:trPr>
          <w:trHeight w:hRule="exact" w:val="44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84" w:after="0"/>
              <w:ind w:left="0" w:right="7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A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{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a </w:t>
            </w:r>
            <w:r>
              <w:rPr>
                <w:w w:val="102.1982113520304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m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},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8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m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84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1,2,...,4;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4" w:after="0"/>
              <w:ind w:left="2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a </w:t>
            </w:r>
            <w:r>
              <w:rPr>
                <w:w w:val="102.1982113520304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m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8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0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,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w w:val="104.10968607122248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5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86" w:after="0"/>
              <w:ind w:left="0" w:right="0" w:firstLine="0"/>
              <w:jc w:val="center"/>
            </w:pPr>
            <w:r>
              <w:rPr>
                <w:w w:val="98.9941978454589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a </w:t>
            </w:r>
            <w:r>
              <w:rPr>
                <w:w w:val="104.10968607122248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m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6" w:after="0"/>
              <w:ind w:left="124" w:right="0" w:firstLine="0"/>
              <w:jc w:val="left"/>
            </w:pPr>
            <w:r>
              <w:rPr>
                <w:w w:val="98.99419784545898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8" w:after="0"/>
              <w:ind w:left="0" w:right="2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(1) </w:t>
            </w:r>
          </w:p>
        </w:tc>
      </w:tr>
    </w:tbl>
    <w:p>
      <w:pPr>
        <w:autoSpaceDN w:val="0"/>
        <w:autoSpaceDE w:val="0"/>
        <w:widowControl/>
        <w:spacing w:line="230" w:lineRule="auto" w:before="2" w:after="0"/>
        <w:ind w:left="0" w:right="5750" w:firstLine="0"/>
        <w:jc w:val="right"/>
      </w:pPr>
      <w:r>
        <w:rPr>
          <w:w w:val="104.10968607122248"/>
          <w:rFonts w:ascii="TimesNewRoman,Italic" w:hAnsi="TimesNewRoman,Italic" w:eastAsia="TimesNewRoman,Italic"/>
          <w:b w:val="0"/>
          <w:i/>
          <w:color w:val="000000"/>
          <w:sz w:val="11"/>
        </w:rPr>
        <w:t>m</w:t>
      </w:r>
    </w:p>
    <w:p>
      <w:pPr>
        <w:autoSpaceDN w:val="0"/>
        <w:autoSpaceDE w:val="0"/>
        <w:widowControl/>
        <w:spacing w:line="230" w:lineRule="auto" w:before="286" w:after="0"/>
        <w:ind w:left="4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weights of the secondary indexes in their corresponding first grade indexes: </w:t>
      </w:r>
    </w:p>
    <w:p>
      <w:pPr>
        <w:sectPr>
          <w:pgSz w:w="10885" w:h="14854"/>
          <w:pgMar w:top="368" w:right="1154" w:bottom="1330" w:left="652" w:header="720" w:footer="720" w:gutter="0"/>
          <w:cols w:space="720" w:num="1" w:equalWidth="0">
            <w:col w:w="9080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108" w:val="left"/>
        </w:tabs>
        <w:autoSpaceDE w:val="0"/>
        <w:widowControl/>
        <w:spacing w:line="176" w:lineRule="exact" w:before="0" w:after="0"/>
        <w:ind w:left="288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Qi Zhang et al. /  AASRI Procedia  3 ( 2012 )  209 – 216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213</w:t>
      </w:r>
    </w:p>
    <w:p>
      <w:pPr>
        <w:autoSpaceDN w:val="0"/>
        <w:autoSpaceDE w:val="0"/>
        <w:widowControl/>
        <w:spacing w:line="245" w:lineRule="auto" w:before="400" w:after="0"/>
        <w:ind w:left="238" w:right="360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Output: a collection of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k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clusters. In this model, contains 16 objects.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Methods: </w:t>
      </w:r>
    </w:p>
    <w:p>
      <w:pPr>
        <w:autoSpaceDN w:val="0"/>
        <w:autoSpaceDE w:val="0"/>
        <w:widowControl/>
        <w:spacing w:line="240" w:lineRule="auto" w:before="20" w:after="0"/>
        <w:ind w:left="2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Select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k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objects at random from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D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as the initial cluster center; </w:t>
      </w:r>
    </w:p>
    <w:p>
      <w:pPr>
        <w:autoSpaceDN w:val="0"/>
        <w:autoSpaceDE w:val="0"/>
        <w:widowControl/>
        <w:spacing w:line="240" w:lineRule="auto" w:before="20" w:after="0"/>
        <w:ind w:left="2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Repeat; </w:t>
      </w:r>
    </w:p>
    <w:p>
      <w:pPr>
        <w:autoSpaceDN w:val="0"/>
        <w:tabs>
          <w:tab w:pos="230" w:val="left"/>
          <w:tab w:pos="360" w:val="left"/>
        </w:tabs>
        <w:autoSpaceDE w:val="0"/>
        <w:widowControl/>
        <w:spacing w:line="240" w:lineRule="auto" w:before="20" w:after="0"/>
        <w:ind w:left="0" w:right="432" w:firstLine="0"/>
        <w:jc w:val="left"/>
      </w:pPr>
      <w:r>
        <w:tab/>
      </w:r>
      <w:r>
        <w:drawing>
          <wp:inline xmlns:a="http://schemas.openxmlformats.org/drawingml/2006/main" xmlns:pic="http://schemas.openxmlformats.org/drawingml/2006/picture">
            <wp:extent cx="63500" cy="63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According to the generalized weighted distance between these objects and the mean of each cluster,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assign each object (again) to the most similar cluster; </w:t>
      </w:r>
    </w:p>
    <w:p>
      <w:pPr>
        <w:autoSpaceDN w:val="0"/>
        <w:autoSpaceDE w:val="0"/>
        <w:widowControl/>
        <w:spacing w:line="240" w:lineRule="auto" w:before="20" w:after="0"/>
        <w:ind w:left="2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Update the cluster mean to calculate the mean of the objects in each cluster until no longer changes. </w:t>
      </w:r>
    </w:p>
    <w:p>
      <w:pPr>
        <w:autoSpaceDN w:val="0"/>
        <w:tabs>
          <w:tab w:pos="238" w:val="left"/>
        </w:tabs>
        <w:autoSpaceDE w:val="0"/>
        <w:widowControl/>
        <w:spacing w:line="245" w:lineRule="auto" w:before="20" w:after="0"/>
        <w:ind w:left="0" w:right="432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3.2.2.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Results Shown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 this model, take the data of GSM cells; see them as objects of study. Get some results by using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model and show them in fig.2. </w:t>
      </w:r>
    </w:p>
    <w:p>
      <w:pPr>
        <w:autoSpaceDN w:val="0"/>
        <w:autoSpaceDE w:val="0"/>
        <w:widowControl/>
        <w:spacing w:line="240" w:lineRule="auto" w:before="4" w:after="0"/>
        <w:ind w:left="139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46829" cy="269875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6829" cy="269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3" w:lineRule="auto" w:before="2" w:after="0"/>
        <w:ind w:left="0" w:right="478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(a) </w:t>
      </w:r>
    </w:p>
    <w:p>
      <w:pPr>
        <w:autoSpaceDN w:val="0"/>
        <w:autoSpaceDE w:val="0"/>
        <w:widowControl/>
        <w:spacing w:line="240" w:lineRule="auto" w:before="4" w:after="0"/>
        <w:ind w:left="143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793490" cy="263144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2631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4" w:after="0"/>
        <w:ind w:left="0" w:right="4778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(b) </w:t>
      </w:r>
    </w:p>
    <w:p>
      <w:pPr>
        <w:sectPr>
          <w:pgSz w:w="10885" w:h="14854"/>
          <w:pgMar w:top="368" w:right="648" w:bottom="1156" w:left="870" w:header="720" w:footer="720" w:gutter="0"/>
          <w:cols w:space="720" w:num="1" w:equalWidth="0">
            <w:col w:w="9368" w:space="0"/>
            <w:col w:w="9080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448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214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Qi Zhang et al. /  AASRI Procedia  3 ( 2012 )  209 – 216 </w:t>
      </w:r>
    </w:p>
    <w:p>
      <w:pPr>
        <w:autoSpaceDN w:val="0"/>
        <w:autoSpaceDE w:val="0"/>
        <w:widowControl/>
        <w:spacing w:line="240" w:lineRule="auto" w:before="382" w:after="0"/>
        <w:ind w:left="119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439920" cy="325627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32562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3" w:lineRule="auto" w:before="2" w:after="0"/>
        <w:ind w:left="0" w:right="4430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(c) </w:t>
      </w:r>
    </w:p>
    <w:p>
      <w:pPr>
        <w:autoSpaceDN w:val="0"/>
        <w:autoSpaceDE w:val="0"/>
        <w:widowControl/>
        <w:spacing w:line="240" w:lineRule="auto" w:before="6" w:after="0"/>
        <w:ind w:left="126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380230" cy="320675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3206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4" w:after="0"/>
        <w:ind w:left="0" w:right="442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(d) </w:t>
      </w:r>
    </w:p>
    <w:p>
      <w:pPr>
        <w:autoSpaceDN w:val="0"/>
        <w:autoSpaceDE w:val="0"/>
        <w:widowControl/>
        <w:spacing w:line="230" w:lineRule="auto" w:before="224" w:after="0"/>
        <w:ind w:left="15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Fig. 2. (a) Initial Cluster Centers; (b) Final Cluster Centers; (c) Clustering Analysis Tree Diagram; (d) Cases  number in Each cluster. </w:t>
      </w:r>
    </w:p>
    <w:p>
      <w:pPr>
        <w:sectPr>
          <w:pgSz w:w="10885" w:h="14854"/>
          <w:pgMar w:top="368" w:right="976" w:bottom="1238" w:left="624" w:header="720" w:footer="720" w:gutter="0"/>
          <w:cols w:space="720" w:num="1" w:equalWidth="0">
            <w:col w:w="9286" w:space="0"/>
            <w:col w:w="9368" w:space="0"/>
            <w:col w:w="9080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108" w:val="left"/>
        </w:tabs>
        <w:autoSpaceDE w:val="0"/>
        <w:widowControl/>
        <w:spacing w:line="176" w:lineRule="exact" w:before="0" w:after="0"/>
        <w:ind w:left="288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Qi Zhang et al. /  AASRI Procedia  3 ( 2012 )  209 – 216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215</w:t>
      </w:r>
    </w:p>
    <w:p>
      <w:pPr>
        <w:autoSpaceDN w:val="0"/>
        <w:autoSpaceDE w:val="0"/>
        <w:widowControl/>
        <w:spacing w:line="230" w:lineRule="auto" w:before="400" w:after="0"/>
        <w:ind w:left="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3.3.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Results Analysis and Model Verification </w:t>
      </w:r>
    </w:p>
    <w:p>
      <w:pPr>
        <w:autoSpaceDN w:val="0"/>
        <w:autoSpaceDE w:val="0"/>
        <w:widowControl/>
        <w:spacing w:line="230" w:lineRule="auto" w:before="260" w:after="0"/>
        <w:ind w:left="2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Realize the mining model for the worst cells, and get some conclusions such as the follows: </w:t>
      </w:r>
    </w:p>
    <w:p>
      <w:pPr>
        <w:autoSpaceDN w:val="0"/>
        <w:tabs>
          <w:tab w:pos="230" w:val="left"/>
          <w:tab w:pos="360" w:val="left"/>
        </w:tabs>
        <w:autoSpaceDE w:val="0"/>
        <w:widowControl/>
        <w:spacing w:line="240" w:lineRule="auto" w:before="20" w:after="0"/>
        <w:ind w:left="0" w:right="432" w:firstLine="0"/>
        <w:jc w:val="left"/>
      </w:pPr>
      <w:r>
        <w:tab/>
      </w:r>
      <w:r>
        <w:drawing>
          <wp:inline xmlns:a="http://schemas.openxmlformats.org/drawingml/2006/main" xmlns:pic="http://schemas.openxmlformats.org/drawingml/2006/picture">
            <wp:extent cx="63500" cy="635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According to the sorting, 14 sample cells have the worst quality, followed by 10 sample cells, they all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need to find the reasons and be processed as far as quickly. </w:t>
      </w:r>
    </w:p>
    <w:p>
      <w:pPr>
        <w:autoSpaceDN w:val="0"/>
        <w:autoSpaceDE w:val="0"/>
        <w:widowControl/>
        <w:spacing w:line="240" w:lineRule="auto" w:before="20" w:after="0"/>
        <w:ind w:left="0" w:right="472" w:firstLine="230"/>
        <w:jc w:val="both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According to the clustering results, the cells in cluster 1 have good indicators, cannot be temporarily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processed; the cells in cluster 4 have the worst indicators, so they are the worst ones. We need to find out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reasons and process them in time. The "worst" extent of the cells in cluster 2 and cluster 3 is between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cluster 1 s and the cluster 4 s, with different situations, so we need to take various measures to treat them. </w:t>
      </w:r>
    </w:p>
    <w:p>
      <w:pPr>
        <w:autoSpaceDN w:val="0"/>
        <w:autoSpaceDE w:val="0"/>
        <w:widowControl/>
        <w:spacing w:line="240" w:lineRule="auto" w:before="20" w:after="0"/>
        <w:ind w:left="0" w:right="470" w:firstLine="230"/>
        <w:jc w:val="both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According to the definition of the worst cells in the Chinese Unicom GSM nets mobile communication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performance statistics system, 14 and 10 samples of the telephone traffic are set to 2, and satisfy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requirements that every channel traffic value must be during 0.1 erl and 0.6 erl. They also have more than 3%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call dropping rate. Verify the correctness of the definition by the model results.[8]All tables should be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numbered with Arabic numerals. Headings should be placed above tables, left justified. Leave one line space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between the heading and the table. Only horizontal lines should be used within a table, to distinguish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column headings from the body of the table, and immediately above and below the table. Tables must be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embedded into the text and not supplied separately. Below is an example which authors may find useful. </w:t>
      </w:r>
    </w:p>
    <w:p>
      <w:pPr>
        <w:autoSpaceDN w:val="0"/>
        <w:autoSpaceDE w:val="0"/>
        <w:widowControl/>
        <w:spacing w:line="240" w:lineRule="auto" w:before="18" w:after="0"/>
        <w:ind w:left="0" w:right="470" w:firstLine="230"/>
        <w:jc w:val="both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Get rid of the history that just relied on the definition to query the worst cells, and mine out the worst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cells efficiently, also reflect the "worst" extent of the worst cells, at last improve the efficiency of dealing with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cells which have the worst quality. </w:t>
      </w:r>
    </w:p>
    <w:p>
      <w:pPr>
        <w:autoSpaceDN w:val="0"/>
        <w:autoSpaceDE w:val="0"/>
        <w:widowControl/>
        <w:spacing w:line="233" w:lineRule="auto" w:before="258" w:after="0"/>
        <w:ind w:left="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4.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Conclusion </w:t>
      </w:r>
    </w:p>
    <w:p>
      <w:pPr>
        <w:autoSpaceDN w:val="0"/>
        <w:autoSpaceDE w:val="0"/>
        <w:widowControl/>
        <w:spacing w:line="250" w:lineRule="auto" w:before="258" w:after="0"/>
        <w:ind w:left="0" w:right="288" w:firstLine="238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proposed mining model of the worst cells based on clustering algorithm, blending in the index weights,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just offers a new idea to dig out the worst cells effectively. To some extent, it has certain significance on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development and optimization of wireless network, but still has a lot of problems. One is that only consider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congestion and interference problems when indicators are selected, but actually there are still many other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performance indicators; another one is that K-means algorithm itself has many defects to improve and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method(AHP) has strong subjectivity. Therefore, we still need further studies to optimize and solve the worst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cells problems. </w:t>
      </w:r>
    </w:p>
    <w:p>
      <w:pPr>
        <w:autoSpaceDN w:val="0"/>
        <w:autoSpaceDE w:val="0"/>
        <w:widowControl/>
        <w:spacing w:line="233" w:lineRule="auto" w:before="484" w:after="0"/>
        <w:ind w:left="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Acknowledgements </w:t>
      </w:r>
    </w:p>
    <w:p>
      <w:pPr>
        <w:autoSpaceDN w:val="0"/>
        <w:autoSpaceDE w:val="0"/>
        <w:widowControl/>
        <w:spacing w:line="230" w:lineRule="auto" w:before="214" w:after="0"/>
        <w:ind w:left="2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This paper is supported by Zhejiang Gongshang University Graduate Student Scientific Innovative Project. </w:t>
      </w:r>
    </w:p>
    <w:p>
      <w:pPr>
        <w:autoSpaceDN w:val="0"/>
        <w:autoSpaceDE w:val="0"/>
        <w:widowControl/>
        <w:spacing w:line="233" w:lineRule="auto" w:before="484" w:after="0"/>
        <w:ind w:left="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References </w:t>
      </w:r>
    </w:p>
    <w:p>
      <w:pPr>
        <w:autoSpaceDN w:val="0"/>
        <w:autoSpaceDE w:val="0"/>
        <w:widowControl/>
        <w:spacing w:line="245" w:lineRule="auto" w:before="202" w:after="0"/>
        <w:ind w:left="0" w:right="115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[1] Ye Qing, Zhou Ming-zheng, Zha Wei-xing. A Wireless Network Optimization Method Based 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Reducing the Proportion of the Worst Plot, Modern Computer, 2010. </w:t>
      </w:r>
    </w:p>
    <w:p>
      <w:pPr>
        <w:autoSpaceDN w:val="0"/>
        <w:autoSpaceDE w:val="0"/>
        <w:widowControl/>
        <w:spacing w:line="245" w:lineRule="auto" w:before="8" w:after="0"/>
        <w:ind w:left="0" w:right="72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[2] Wang Yan-ping, Yue Chun-xia. Analysis and implement of worst cell based on data mining. Computer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Engineering and Design, 2007. </w:t>
      </w:r>
    </w:p>
    <w:p>
      <w:pPr>
        <w:autoSpaceDN w:val="0"/>
        <w:autoSpaceDE w:val="0"/>
        <w:widowControl/>
        <w:spacing w:line="245" w:lineRule="auto" w:before="8" w:after="0"/>
        <w:ind w:left="0" w:right="115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[3] Shen Liang. The Research of Data Mining in Mobile Network Optimization, ShangHai Jiao Tong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University, 2009. </w:t>
      </w:r>
    </w:p>
    <w:p>
      <w:pPr>
        <w:autoSpaceDN w:val="0"/>
        <w:autoSpaceDE w:val="0"/>
        <w:widowControl/>
        <w:spacing w:line="245" w:lineRule="auto" w:before="10" w:after="0"/>
        <w:ind w:left="0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[4] Sun Geng, Feng Yan-hong; GUO Xian-jiu; Zhang Chun-ping. Research on K-means Clustering Algorithm,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Journal of Changchun Normal University,2011. </w:t>
      </w:r>
    </w:p>
    <w:p>
      <w:pPr>
        <w:sectPr>
          <w:pgSz w:w="10885" w:h="14854"/>
          <w:pgMar w:top="368" w:right="648" w:bottom="1240" w:left="870" w:header="720" w:footer="720" w:gutter="0"/>
          <w:cols w:space="720" w:num="1" w:equalWidth="0">
            <w:col w:w="9368" w:space="0"/>
            <w:col w:w="9286" w:space="0"/>
            <w:col w:w="9368" w:space="0"/>
            <w:col w:w="9080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448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216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Qi Zhang et al. /  AASRI Procedia  3 ( 2012 )  209 – 216 </w:t>
      </w:r>
    </w:p>
    <w:p>
      <w:pPr>
        <w:autoSpaceDN w:val="0"/>
        <w:autoSpaceDE w:val="0"/>
        <w:widowControl/>
        <w:spacing w:line="245" w:lineRule="auto" w:before="442" w:after="0"/>
        <w:ind w:left="202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[5] Zhang Yongmin. Application and Realization of Data mining in the Mobile Network Optimization.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University of Electronic Science and Technology of China,2007. </w:t>
      </w:r>
    </w:p>
    <w:p>
      <w:pPr>
        <w:autoSpaceDN w:val="0"/>
        <w:autoSpaceDE w:val="0"/>
        <w:widowControl/>
        <w:spacing w:line="245" w:lineRule="auto" w:before="10" w:after="0"/>
        <w:ind w:left="202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[6] Jiawei Han, Micheline Kamber.Data Mining Concepts and Techniques. China Machine Press,2007.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[7] WU Jinhai, LI Yinan, ZHOU Yaobiao. The GSM Network Optimization of Mobile Communication.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Journal of Liaoning University(Natural Sciences Edition),2006. </w:t>
      </w:r>
    </w:p>
    <w:p>
      <w:pPr>
        <w:autoSpaceDN w:val="0"/>
        <w:autoSpaceDE w:val="0"/>
        <w:widowControl/>
        <w:spacing w:line="233" w:lineRule="auto" w:before="10" w:after="0"/>
        <w:ind w:left="2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[8] Han Bingjie.GSM principle and its network optimization. China Machine Press,2004. </w:t>
      </w:r>
    </w:p>
    <w:p>
      <w:pPr>
        <w:autoSpaceDN w:val="0"/>
        <w:autoSpaceDE w:val="0"/>
        <w:widowControl/>
        <w:spacing w:line="245" w:lineRule="auto" w:before="10" w:after="0"/>
        <w:ind w:left="202" w:right="86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[9]WANG Wei, ZHANG Yu-zhi. Method of Obtaining Eigenvector for a Fuzzy AHP. Control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Decision,2006(02). </w:t>
      </w:r>
    </w:p>
    <w:p>
      <w:pPr>
        <w:autoSpaceDN w:val="0"/>
        <w:autoSpaceDE w:val="0"/>
        <w:widowControl/>
        <w:spacing w:line="245" w:lineRule="auto" w:before="10" w:after="0"/>
        <w:ind w:left="202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[10] S. Anahory, D. Murray, Data Warehousing in the Real World,Addison Wesley, 1997, pp. 327</w:t>
      </w:r>
      <w:r>
        <w:rPr>
          <w:rFonts w:ascii="TimesNewRoman" w:hAnsi="TimesNewRoman" w:eastAsia="TimesNewRoman"/>
          <w:b w:val="0"/>
          <w:i w:val="0"/>
          <w:strike/>
          <w:color w:val="221F1F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339. </w:t>
      </w:r>
      <w:r>
        <w:rPr>
          <w:rFonts w:ascii="TimesNewRoman" w:hAnsi="TimesNewRoman" w:eastAsia="TimesNewRoman"/>
          <w:b w:val="0"/>
          <w:i w:val="0"/>
          <w:color w:val="221F1F"/>
          <w:sz w:val="21"/>
        </w:rPr>
        <w:t xml:space="preserve">[11]J. Han, M. Kamber, Data Mining Concepts and Techniques, 2000. </w:t>
      </w:r>
    </w:p>
    <w:sectPr w:rsidR="00FC693F" w:rsidRPr="0006063C" w:rsidSect="00034616">
      <w:pgSz w:w="10885" w:h="14854"/>
      <w:pgMar w:top="368" w:right="1150" w:bottom="1440" w:left="624" w:header="720" w:footer="720" w:gutter="0"/>
      <w:cols w:space="720" w:num="1" w:equalWidth="0">
        <w:col w:w="9112" w:space="0"/>
        <w:col w:w="9368" w:space="0"/>
        <w:col w:w="9286" w:space="0"/>
        <w:col w:w="9368" w:space="0"/>
        <w:col w:w="9080" w:space="0"/>
        <w:col w:w="962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