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384 – 388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2" w:lineRule="exact" w:before="1100" w:after="0"/>
        <w:ind w:left="8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400" w:lineRule="exact" w:before="240" w:after="0"/>
        <w:ind w:left="288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 Transductive Support Vector Machine Algorithm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Spectral Clustering </w:t>
      </w:r>
    </w:p>
    <w:p>
      <w:pPr>
        <w:autoSpaceDN w:val="0"/>
        <w:autoSpaceDE w:val="0"/>
        <w:widowControl/>
        <w:spacing w:line="294" w:lineRule="exact" w:before="246" w:after="0"/>
        <w:ind w:left="0" w:right="31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Xu Yu*, Jing Yang, Jian-pei Zhang </w:t>
      </w:r>
    </w:p>
    <w:p>
      <w:pPr>
        <w:autoSpaceDN w:val="0"/>
        <w:autoSpaceDE w:val="0"/>
        <w:widowControl/>
        <w:spacing w:line="180" w:lineRule="exact" w:before="176" w:after="0"/>
        <w:ind w:left="56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School of Computer Science, Harbin Engineering University,145,  Nantong street,Nangang district,  Harbin, 150001, China </w:t>
      </w:r>
    </w:p>
    <w:p>
      <w:pPr>
        <w:autoSpaceDN w:val="0"/>
        <w:autoSpaceDE w:val="0"/>
        <w:widowControl/>
        <w:spacing w:line="206" w:lineRule="exact" w:before="624" w:after="0"/>
        <w:ind w:left="1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24" w:right="60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As transductive inference makes full use of the distribution information of unlabeled samples, so compared with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traditional inductive inference, it is always more precise. For the question that transductive support vector machine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algorithm (TSVM) is with a low classification precision and an unstable learning performance, in this paper, a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transductive support vector machine algorithm based on spectral clustering (TSVMSC) is proposed. Firstly, the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utilizes spectral clustering algorithm to divide the unlabeled samples into several clusters, then labels them with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class, finally makes transductive inference on the mixed data set composed by both labeled and unlabeled samples. It 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not necessary to estimate the ration of the positive samples to the negative samples, so the stability can be improved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largely. Meanwhile, the prior distribution information of the unlabeled samples can further be extracted, so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classification precision can be improved effectively. The experiments show that TSVMSC exhibits a superiority over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TSVM both at the stable performance and classification precision. </w:t>
      </w:r>
    </w:p>
    <w:p>
      <w:pPr>
        <w:autoSpaceDN w:val="0"/>
        <w:autoSpaceDE w:val="0"/>
        <w:widowControl/>
        <w:spacing w:line="230" w:lineRule="exact" w:before="232" w:after="0"/>
        <w:ind w:left="1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0" w:lineRule="exact" w:before="248" w:after="0"/>
        <w:ind w:left="12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 Transductive inference; Spectral clustering; Support vector machine; Unlabeled samples </w:t>
      </w:r>
    </w:p>
    <w:p>
      <w:pPr>
        <w:autoSpaceDN w:val="0"/>
        <w:autoSpaceDE w:val="0"/>
        <w:widowControl/>
        <w:spacing w:line="228" w:lineRule="exact" w:before="462" w:after="0"/>
        <w:ind w:left="1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30" w:lineRule="exact" w:before="242" w:after="0"/>
        <w:ind w:left="124" w:right="576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Statistic learning theory is proposed by Vapnik (Vapnik, 1995), which is a theory on small sample problem.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SVM is a new generation of leaning algorithms based on Statistic learning theory (Cortes and Vapnik, 1995), </w:t>
      </w:r>
    </w:p>
    <w:p>
      <w:pPr>
        <w:autoSpaceDN w:val="0"/>
        <w:autoSpaceDE w:val="0"/>
        <w:widowControl/>
        <w:spacing w:line="200" w:lineRule="exact" w:before="764" w:after="0"/>
        <w:ind w:left="364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+86-13624508906; fax: +86-0451-82519602.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yuxub09@hrbeu.edu.cn. </w:t>
      </w:r>
    </w:p>
    <w:p>
      <w:pPr>
        <w:autoSpaceDN w:val="0"/>
        <w:autoSpaceDE w:val="0"/>
        <w:widowControl/>
        <w:spacing w:line="200" w:lineRule="exact" w:before="130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10.1016/j.aasri.2012.06.059 </w:t>
      </w:r>
    </w:p>
    <w:p>
      <w:pPr>
        <w:sectPr>
          <w:pgSz w:w="10885" w:h="14854"/>
          <w:pgMar w:top="438" w:right="696" w:bottom="3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Xu Yu et al. /  AASRI Procedia  1 ( 2012 )  384 – 388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385</w:t>
      </w:r>
    </w:p>
    <w:p>
      <w:pPr>
        <w:autoSpaceDN w:val="0"/>
        <w:autoSpaceDE w:val="0"/>
        <w:widowControl/>
        <w:spacing w:line="230" w:lineRule="exact" w:before="356" w:after="0"/>
        <w:ind w:left="72" w:right="5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it is the most practical and youngest part. Currently SVM develops constantly. Although traditional SVM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deal with high-dimensional, non-linear and small sample data set, it solves a more complex problem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classification process of finite samples. Thus it obeyed the following basic principle that when we solved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problem, we should avoid to solve a more general problem in the middle process. Based on this idea,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Vapnic proposed a transductive thought (Gammerman et al., 1998) and present a transductive support vector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 algorithm which can improve the performance of classifier effectively. </w:t>
      </w:r>
    </w:p>
    <w:p>
      <w:pPr>
        <w:autoSpaceDN w:val="0"/>
        <w:autoSpaceDE w:val="0"/>
        <w:widowControl/>
        <w:spacing w:line="230" w:lineRule="exact" w:before="0" w:after="0"/>
        <w:ind w:left="72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article is a further study on transductive learning, trying to find a more common transductive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than the existing methods. According to the inherent characteristics of support vector machine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classification, this article design a transductive support vector machine algorithm based on spectral clustering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(Shi and Malik, 2000). The present classifier first uses spectral clustering to cluster the similar non-label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 based on the good results of spectral clustering. Then it marks all the samples in the same cluster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label. Finally the classifier uses transductive learning method to do classification. As this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uses spectral clustering to mine the effective priori distribution information of the unlabeled samples, so it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effectively improving the performance of the transductive support vector machine algorithm. </w:t>
      </w:r>
    </w:p>
    <w:p>
      <w:pPr>
        <w:autoSpaceDN w:val="0"/>
        <w:autoSpaceDE w:val="0"/>
        <w:widowControl/>
        <w:spacing w:line="230" w:lineRule="exact" w:before="0" w:after="0"/>
        <w:ind w:left="72" w:right="5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2 introduces the idea of transductive learning and described the transductive support vector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 classification algorithm presented by Joachims (Joachims, 1999). Based on the characteristics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traditional support vector machine classifiers and the good result of spectral clustering, we present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transductive support vector machine learning algorithm based on spectral clustering and give the detailed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processes of the algorithm. In Section 4, we give the experimental results and make a detailed analysis.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5, we conclude the whole paper and point out that further research directions and ideas. </w:t>
      </w:r>
    </w:p>
    <w:p>
      <w:pPr>
        <w:autoSpaceDN w:val="0"/>
        <w:autoSpaceDE w:val="0"/>
        <w:widowControl/>
        <w:spacing w:line="228" w:lineRule="exact" w:before="250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Overview of transductive inference </w:t>
      </w:r>
    </w:p>
    <w:p>
      <w:pPr>
        <w:autoSpaceDN w:val="0"/>
        <w:autoSpaceDE w:val="0"/>
        <w:widowControl/>
        <w:spacing w:line="230" w:lineRule="exact" w:before="242" w:after="0"/>
        <w:ind w:left="72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Transductive inference was first proposed by Vapnik. The difference between transductive learning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traditional learning is that the traditional classifier first obtained the functions according to the training sample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set, then judge the class label of test samples according to the classification functions, while transductive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classifiers directly use the training sample set to judge the class labels of the test samples. </w:t>
      </w:r>
    </w:p>
    <w:p>
      <w:pPr>
        <w:autoSpaceDN w:val="0"/>
        <w:tabs>
          <w:tab w:pos="2238" w:val="left"/>
          <w:tab w:pos="2302" w:val="left"/>
          <w:tab w:pos="2388" w:val="left"/>
          <w:tab w:pos="2450" w:val="left"/>
          <w:tab w:pos="2530" w:val="left"/>
          <w:tab w:pos="2600" w:val="left"/>
          <w:tab w:pos="2664" w:val="left"/>
          <w:tab w:pos="2778" w:val="left"/>
          <w:tab w:pos="2944" w:val="left"/>
          <w:tab w:pos="3070" w:val="left"/>
          <w:tab w:pos="3164" w:val="left"/>
          <w:tab w:pos="3218" w:val="left"/>
          <w:tab w:pos="3298" w:val="left"/>
          <w:tab w:pos="3376" w:val="left"/>
          <w:tab w:pos="3432" w:val="left"/>
          <w:tab w:pos="3544" w:val="left"/>
          <w:tab w:pos="3698" w:val="left"/>
          <w:tab w:pos="3944" w:val="left"/>
          <w:tab w:pos="4424" w:val="left"/>
        </w:tabs>
        <w:autoSpaceDE w:val="0"/>
        <w:widowControl/>
        <w:spacing w:line="226" w:lineRule="exact" w:before="0" w:after="0"/>
        <w:ind w:left="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Let training samples be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x </w:t>
      </w: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y </w:t>
      </w: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),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,(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x </w:t>
      </w:r>
      <w:r>
        <w:rPr>
          <w:rFonts w:ascii="TimesNewRomanPS" w:hAnsi="TimesNewRomanPS" w:eastAsia="TimesNewRomanPS"/>
          <w:b w:val="0"/>
          <w:i/>
          <w:color w:val="000000"/>
          <w:sz w:val="11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y </w:t>
      </w:r>
      <w:r>
        <w:rPr>
          <w:rFonts w:ascii="TimesNewRomanPS" w:hAnsi="TimesNewRomanPS" w:eastAsia="TimesNewRomanPS"/>
          <w:b w:val="0"/>
          <w:i/>
          <w:color w:val="000000"/>
          <w:sz w:val="11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y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{ 1,1}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which come from the same distribution independently. </w:t>
      </w:r>
    </w:p>
    <w:p>
      <w:pPr>
        <w:autoSpaceDN w:val="0"/>
        <w:tabs>
          <w:tab w:pos="466" w:val="left"/>
          <w:tab w:pos="550" w:val="left"/>
          <w:tab w:pos="844" w:val="left"/>
          <w:tab w:pos="908" w:val="left"/>
          <w:tab w:pos="1006" w:val="left"/>
        </w:tabs>
        <w:autoSpaceDE w:val="0"/>
        <w:widowControl/>
        <w:spacing w:line="256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x 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be non-labeled samples following the same distribution. Under the non-linear separable </w:t>
      </w:r>
      <w:r>
        <w:rPr>
          <w:rFonts w:ascii="TimesNewRomanPS" w:hAnsi="TimesNewRomanPS" w:eastAsia="TimesNewRomanPS"/>
          <w:b w:val="0"/>
          <w:i/>
          <w:color w:val="000000"/>
          <w:sz w:val="11"/>
        </w:rPr>
        <w:t>k</w:t>
      </w:r>
    </w:p>
    <w:p>
      <w:pPr>
        <w:autoSpaceDN w:val="0"/>
        <w:autoSpaceDE w:val="0"/>
        <w:widowControl/>
        <w:spacing w:line="230" w:lineRule="exact" w:before="30" w:after="16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condition, the transductive learning based on support vector machines can be described as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problems.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48"/>
        </w:trPr>
        <w:tc>
          <w:tcPr>
            <w:tcW w:type="dxa" w:w="76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min</w:t>
            </w:r>
          </w:p>
          <w:p>
            <w:pPr>
              <w:autoSpaceDN w:val="0"/>
              <w:autoSpaceDE w:val="0"/>
              <w:widowControl/>
              <w:spacing w:line="1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, 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���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 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37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���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*</w:t>
            </w:r>
          </w:p>
        </w:tc>
        <w:tc>
          <w:tcPr>
            <w:tcW w:type="dxa" w:w="10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2"/>
            <w:gridSpan w:val="2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w</w:t>
            </w:r>
          </w:p>
        </w:tc>
        <w:tc>
          <w:tcPr>
            <w:tcW w:type="dxa" w:w="15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 xml:space="preserve">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 xml:space="preserve">i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*</w:t>
            </w:r>
          </w:p>
        </w:tc>
        <w:tc>
          <w:tcPr>
            <w:tcW w:type="dxa" w:w="260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" w:val="left"/>
                <w:tab w:pos="170" w:val="left"/>
              </w:tabs>
              <w:autoSpaceDE w:val="0"/>
              <w:widowControl/>
              <w:spacing w:line="184" w:lineRule="exact" w:before="0" w:after="0"/>
              <w:ind w:left="18" w:right="216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k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880"/>
            <w:tcBorders>
              <w:bottom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760"/>
            <w:vMerge w:val="restart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 xml:space="preserve">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*</w:t>
            </w:r>
          </w:p>
        </w:tc>
        <w:tc>
          <w:tcPr>
            <w:tcW w:type="dxa" w:w="120"/>
            <w:vMerge w:val="restart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00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 xml:space="preserve">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*</w:t>
            </w:r>
          </w:p>
        </w:tc>
        <w:tc>
          <w:tcPr>
            <w:tcW w:type="dxa" w:w="1736"/>
            <w:gridSpan w:val="4"/>
            <w:vMerge/>
            <w:tcBorders/>
          </w:tcPr>
          <w:p/>
        </w:tc>
        <w:tc>
          <w:tcPr>
            <w:tcW w:type="dxa" w:w="1302"/>
            <w:gridSpan w:val="3"/>
            <w:vMerge/>
            <w:tcBorders/>
          </w:tcPr>
          <w:p/>
        </w:tc>
        <w:tc>
          <w:tcPr>
            <w:tcW w:type="dxa" w:w="100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12"/>
            <w:gridSpan w:val="2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1302"/>
            <w:gridSpan w:val="3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180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0"/>
            <w:vMerge w:val="restart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6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j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.000000000000114" w:type="dxa"/>
            </w:tblPr>
            <w:tblGrid>
              <w:gridCol w:w="1300"/>
              <w:gridCol w:w="1300"/>
            </w:tblGrid>
            <w:tr>
              <w:trPr>
                <w:trHeight w:hRule="exact" w:val="286"/>
              </w:trPr>
              <w:tc>
                <w:tcPr>
                  <w:tcW w:type="dxa" w:w="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11"/>
                    </w:rPr>
                    <w:t>�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1</w:t>
                  </w:r>
                </w:p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0" w:after="0"/>
                    <w:ind w:left="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1"/>
                    </w:rPr>
                    <w:t>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80"/>
            <w:vMerge w:val="restart"/>
            <w:tcBorders>
              <w:top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8" w:after="0"/>
              <w:ind w:left="0" w:right="24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300"/>
        </w:trPr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2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" w:after="0"/>
              <w:ind w:left="0" w:right="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4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((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w x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754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 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i</w:t>
            </w:r>
          </w:p>
        </w:tc>
        <w:tc>
          <w:tcPr>
            <w:tcW w:type="dxa" w:w="1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1,...,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n</w:t>
            </w:r>
          </w:p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2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4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((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w 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*</w:t>
            </w:r>
          </w:p>
          <w:p>
            <w:pPr>
              <w:autoSpaceDN w:val="0"/>
              <w:autoSpaceDE w:val="0"/>
              <w:widowControl/>
              <w:spacing w:line="122" w:lineRule="exact" w:before="0" w:after="0"/>
              <w:ind w:left="0" w:right="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71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 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j</w:t>
            </w:r>
          </w:p>
        </w:tc>
        <w:tc>
          <w:tcPr>
            <w:tcW w:type="dxa" w:w="1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1,...,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k</w:t>
            </w:r>
          </w:p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7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40"/>
            <w:gridSpan w:val="4"/>
            <w:tcBorders>
              <w:end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0,</w:t>
            </w:r>
          </w:p>
        </w:tc>
        <w:tc>
          <w:tcPr>
            <w:tcW w:type="dxa" w:w="164"/>
            <w:tcBorders>
              <w:start w:sz="3.2079999446868896" w:val="single" w:color="#000000"/>
              <w:end w:sz="3.207999944686889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i</w:t>
            </w:r>
          </w:p>
        </w:tc>
        <w:tc>
          <w:tcPr>
            <w:tcW w:type="dxa" w:w="150"/>
            <w:gridSpan w:val="2"/>
            <w:tcBorders>
              <w:start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1,...,</w:t>
            </w:r>
          </w:p>
        </w:tc>
        <w:tc>
          <w:tcPr>
            <w:tcW w:type="dxa" w:w="43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n</w:t>
            </w:r>
          </w:p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74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3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40"/>
            <w:gridSpan w:val="4"/>
            <w:tcBorders>
              <w:end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0,</w:t>
            </w:r>
          </w:p>
        </w:tc>
        <w:tc>
          <w:tcPr>
            <w:tcW w:type="dxa" w:w="210"/>
            <w:gridSpan w:val="2"/>
            <w:tcBorders>
              <w:start w:sz="3.20799994468688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j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1,...,</w:t>
            </w:r>
          </w:p>
        </w:tc>
        <w:tc>
          <w:tcPr>
            <w:tcW w:type="dxa" w:w="43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k</w:t>
            </w:r>
          </w:p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  <w:tc>
          <w:tcPr>
            <w:tcW w:type="dxa" w:w="434"/>
            <w:vMerge/>
            <w:tcBorders>
              <w:top w:sz="3.207999944686889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exact" w:before="40" w:after="0"/>
        <w:ind w:left="72" w:right="542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general, the exact solution of this problem requires a search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11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cases in sample set, which is an NP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problem. For a small number of samples, this process can be completed. For a large number of unlabeled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samples, however, it is necessary to use a variety of approximate optimization algorithm to obtain the solution. </w:t>
      </w:r>
    </w:p>
    <w:p>
      <w:pPr>
        <w:autoSpaceDN w:val="0"/>
        <w:tabs>
          <w:tab w:pos="272" w:val="left"/>
        </w:tabs>
        <w:autoSpaceDE w:val="0"/>
        <w:widowControl/>
        <w:spacing w:line="230" w:lineRule="exact" w:before="0" w:after="0"/>
        <w:ind w:left="7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Currently, the most important outcome in this respect is Transductive Support Vector Machine (TSVM)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by Joachims. Below, we will briefly introduce the principle and realization of TSVM algorithm. </w:t>
      </w:r>
    </w:p>
    <w:p>
      <w:pPr>
        <w:autoSpaceDN w:val="0"/>
        <w:tabs>
          <w:tab w:pos="272" w:val="left"/>
        </w:tabs>
        <w:autoSpaceDE w:val="0"/>
        <w:widowControl/>
        <w:spacing w:line="230" w:lineRule="exact" w:before="0" w:after="0"/>
        <w:ind w:left="7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training process of TSVM is the process of solving the above optimization problem. The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can be divided into the following steps: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1: Set parameter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*, and use inductive SVM on the training data to obtain an initial classifier.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 the number of positive label samples,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according to a rule. </w:t>
      </w:r>
    </w:p>
    <w:p>
      <w:pPr>
        <w:sectPr>
          <w:pgSz w:w="10885" w:h="14854"/>
          <w:pgMar w:top="368" w:right="648" w:bottom="1194" w:left="680" w:header="720" w:footer="720" w:gutter="0"/>
          <w:cols w:space="720" w:num="1" w:equalWidth="0"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6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Xu Yu et al. /  AASRI Procedia  1 ( 2012 )  384 – 388 </w:t>
      </w:r>
    </w:p>
    <w:p>
      <w:pPr>
        <w:autoSpaceDN w:val="0"/>
        <w:autoSpaceDE w:val="0"/>
        <w:widowControl/>
        <w:spacing w:line="230" w:lineRule="exact" w:before="354" w:after="20"/>
        <w:ind w:left="74" w:right="576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2: Compute the decision function values of all the unlabeled examples with the initial classifier. Label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examples with the largest decision function values as positive, and the others as negative. Set a temporary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186"/>
        <w:gridCol w:w="3186"/>
        <w:gridCol w:w="3186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effect factor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*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tmp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0" w:lineRule="exact" w:before="24" w:after="18"/>
        <w:ind w:left="74" w:right="58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3: Retrain the support vector machine over all the examples. For the newly yielded classifier, switch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labels of one pair of different-labeled unlabeled examples using a certain rule to make the value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objective function in (1) decrease as much as possible. This step is repeated until no pair of examples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satisfying the switching condition is found.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.0" w:type="dxa"/>
      </w:tblPr>
      <w:tblGrid>
        <w:gridCol w:w="1912"/>
        <w:gridCol w:w="1912"/>
        <w:gridCol w:w="1912"/>
        <w:gridCol w:w="1912"/>
        <w:gridCol w:w="1912"/>
      </w:tblGrid>
      <w:tr>
        <w:trPr>
          <w:trHeight w:hRule="exact" w:val="29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 4: Increase the value of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*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tmp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slightly and return to Process 3. When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tmp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the algorithm is 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finished and the result is output. </w:t>
      </w:r>
    </w:p>
    <w:p>
      <w:pPr>
        <w:autoSpaceDN w:val="0"/>
        <w:autoSpaceDE w:val="0"/>
        <w:widowControl/>
        <w:spacing w:line="228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A transductive support vector machine algorithm based on spectral clustering </w:t>
      </w:r>
    </w:p>
    <w:p>
      <w:pPr>
        <w:autoSpaceDN w:val="0"/>
        <w:autoSpaceDE w:val="0"/>
        <w:widowControl/>
        <w:spacing w:line="230" w:lineRule="exact" w:before="242" w:after="0"/>
        <w:ind w:left="74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TSVM algorithms use the idea of transductive learning effectively, so it can combine the implied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information of unlabeled samples and training samples well. Therefore, compared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traditional support vector machine algorithm, TSVM algorithm is with a higher classification accuracy. </w:t>
      </w:r>
    </w:p>
    <w:p>
      <w:pPr>
        <w:autoSpaceDN w:val="0"/>
        <w:autoSpaceDE w:val="0"/>
        <w:widowControl/>
        <w:spacing w:line="230" w:lineRule="exact" w:before="0" w:after="0"/>
        <w:ind w:left="74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TSVM algorithm still exists a number of shortcomings, such as the number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positive label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 in the unlabeled samples for TSVM algorithm must be artificially specified, but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 is usually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very difficult to make a reasonable estimate. </w:t>
      </w:r>
    </w:p>
    <w:p>
      <w:pPr>
        <w:autoSpaceDN w:val="0"/>
        <w:autoSpaceDE w:val="0"/>
        <w:widowControl/>
        <w:spacing w:line="230" w:lineRule="exact" w:before="0" w:after="0"/>
        <w:ind w:left="74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TSVM algorithm uses a simple method to estimate the value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which is to estimate the proportion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 with positive labels to all the unlabeled samples according to the proportion of samples with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labels to all the labeled samples. However, when the number of samples with labels is small, the method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 to estimate a more accurate value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Once the pre-set value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quite different from the actual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of samples with positive labels, the performance of the TSVM algorithm will become very unstable,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moreover the classification accuracy of the algorithm can not be assured effectively. </w:t>
      </w:r>
    </w:p>
    <w:p>
      <w:pPr>
        <w:autoSpaceDN w:val="0"/>
        <w:tabs>
          <w:tab w:pos="276" w:val="left"/>
        </w:tabs>
        <w:autoSpaceDE w:val="0"/>
        <w:widowControl/>
        <w:spacing w:line="230" w:lineRule="exact" w:before="0" w:after="0"/>
        <w:ind w:left="74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performance of the TSVM algorithm is very unstable, so in this paper, we propose a Transductive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Support Vector Machine based on Spectral Clustering, referred to as TSVMSC. </w:t>
      </w:r>
    </w:p>
    <w:p>
      <w:pPr>
        <w:autoSpaceDN w:val="0"/>
        <w:autoSpaceDE w:val="0"/>
        <w:widowControl/>
        <w:spacing w:line="230" w:lineRule="exact" w:before="0" w:after="0"/>
        <w:ind w:left="74" w:right="58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basic though of TSVMSC is as follows. First of all, cluster the similar unlabeled sample effectively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the good clustering performance of spectral clustering. Then mark all the samples in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 with the same label. Finally learn with transductive support vector machine on all the labeled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unlabeled samples, which is to find a solution of optimization problem (1). Below we present the detailed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steps of TSVMSC. </w:t>
      </w:r>
    </w:p>
    <w:p>
      <w:pPr>
        <w:autoSpaceDN w:val="0"/>
        <w:autoSpaceDE w:val="0"/>
        <w:widowControl/>
        <w:spacing w:line="226" w:lineRule="exact" w:before="4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1: Specify clustering number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(usually set 3&lt;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&lt;7), and specify the parameters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*.</w:t>
      </w:r>
    </w:p>
    <w:p>
      <w:pPr>
        <w:autoSpaceDN w:val="0"/>
        <w:autoSpaceDE w:val="0"/>
        <w:widowControl/>
        <w:spacing w:line="226" w:lineRule="exact" w:before="4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2: Use spectral clustering algorithm to cluster the sample set, and divide it into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clusters. </w:t>
      </w:r>
    </w:p>
    <w:p>
      <w:pPr>
        <w:autoSpaceDN w:val="0"/>
        <w:tabs>
          <w:tab w:pos="276" w:val="left"/>
        </w:tabs>
        <w:autoSpaceDE w:val="0"/>
        <w:widowControl/>
        <w:spacing w:line="228" w:lineRule="exact" w:before="36" w:after="0"/>
        <w:ind w:left="74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3: Mark all the samples in the same cluster with the same label, and search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11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cases in sample set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solve optimization problem (1). </w:t>
      </w:r>
    </w:p>
    <w:p>
      <w:pPr>
        <w:autoSpaceDN w:val="0"/>
        <w:autoSpaceDE w:val="0"/>
        <w:widowControl/>
        <w:spacing w:line="226" w:lineRule="exact" w:before="4" w:after="0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4: Output the class labels of unlabeled samples. </w:t>
      </w:r>
    </w:p>
    <w:p>
      <w:pPr>
        <w:autoSpaceDN w:val="0"/>
        <w:autoSpaceDE w:val="0"/>
        <w:widowControl/>
        <w:spacing w:line="228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Experimental results and analysis </w:t>
      </w:r>
    </w:p>
    <w:p>
      <w:pPr>
        <w:autoSpaceDN w:val="0"/>
        <w:autoSpaceDE w:val="0"/>
        <w:widowControl/>
        <w:spacing w:line="230" w:lineRule="exact" w:before="242" w:after="0"/>
        <w:ind w:left="74" w:right="576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test the performance of TSVMSC proposed in this paper, we make an experiment on the Reuters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newswire data sets, the Reuters-21578. The dataset comes from Reuters newswire in 1987, which is a typical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text classification dataset (Joachims, 2001). Our experimental data is obtained by adapting Joachims’s pre-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treated data set. </w:t>
      </w:r>
    </w:p>
    <w:p>
      <w:pPr>
        <w:autoSpaceDN w:val="0"/>
        <w:autoSpaceDE w:val="0"/>
        <w:widowControl/>
        <w:spacing w:line="230" w:lineRule="exact" w:before="0" w:after="0"/>
        <w:ind w:left="74" w:right="588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word is represented by a feature vector in high dimensional space, and each feature corresponds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word root. The objective of this experiment is to train a classifier to find the texts related with corporate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acquisition. This experiment selects Radial Basis Function (RBF) as kernel function (Burges, 1998): </w:t>
      </w:r>
    </w:p>
    <w:p>
      <w:pPr>
        <w:sectPr>
          <w:pgSz w:w="10885" w:h="14854"/>
          <w:pgMar w:top="368" w:right="702" w:bottom="1330" w:left="624" w:header="720" w:footer="720" w:gutter="0"/>
          <w:cols w:space="720" w:num="1" w:equalWidth="0"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rPr>
          <w:trHeight w:hRule="exact" w:val="366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101.5190029144287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5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0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Xu Yu et al. /  AASRI Procedia  1 ( 2012 )  384 – 388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80" w:after="0"/>
              <w:ind w:left="0" w:right="1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(2)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387</w:t>
            </w:r>
          </w:p>
        </w:tc>
      </w:tr>
      <w:tr>
        <w:trPr>
          <w:trHeight w:hRule="exact" w:val="520"/>
        </w:trPr>
        <w:tc>
          <w:tcPr>
            <w:tcW w:type="dxa" w:w="1062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90" w:after="0"/>
              <w:ind w:left="0" w:right="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, 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exp(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94" w:after="0"/>
              <w:ind w:left="0" w:right="22" w:firstLine="0"/>
              <w:jc w:val="right"/>
            </w:pPr>
            <w:r>
              <w:rPr>
                <w:w w:val="102.1416664123535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60"/>
              <w:gridCol w:w="260"/>
              <w:gridCol w:w="260"/>
            </w:tblGrid>
            <w:tr>
              <w:trPr>
                <w:trHeight w:hRule="exact" w:val="250"/>
              </w:trPr>
              <w:tc>
                <w:tcPr>
                  <w:tcW w:type="dxa" w:w="174"/>
                  <w:tcBorders>
                    <w:end w:sz="3.888000011444092" w:val="single" w:color="#000000"/>
                    <w:bottom w:sz="3.88800001144409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  <w:tc>
                <w:tcPr>
                  <w:tcW w:type="dxa" w:w="468"/>
                  <w:tcBorders>
                    <w:start w:sz="3.888000011444092" w:val="single" w:color="#000000"/>
                    <w:end w:sz="3.888000011444092" w:val="single" w:color="#000000"/>
                    <w:bottom w:sz="3.888000011444092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.9999999999998863" w:type="dxa"/>
                  </w:tblPr>
                  <w:tblGrid>
                    <w:gridCol w:w="156"/>
                    <w:gridCol w:w="156"/>
                    <w:gridCol w:w="156"/>
                  </w:tblGrid>
                  <w:tr>
                    <w:trPr>
                      <w:trHeight w:hRule="exact" w:val="242"/>
                    </w:trPr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MT" w:hAnsi="SymbolMT" w:eastAsia="SymbolMT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0"/>
                          </w:rPr>
                          <w:t>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28"/>
                  <w:tcBorders>
                    <w:start w:sz="3.888000011444092" w:val="single" w:color="#000000"/>
                    <w:bottom w:sz="3.88800001144409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8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1416664123535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62"/>
            <w:vMerge/>
            <w:tcBorders/>
          </w:tcPr>
          <w:p/>
        </w:tc>
        <w:tc>
          <w:tcPr>
            <w:tcW w:type="dxa" w:w="75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a width parameter, "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 and "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"  are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-dimensional vectors in the original feature space. </w:t>
            </w:r>
          </w:p>
        </w:tc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4" w:after="0"/>
        <w:ind w:left="70" w:right="588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all experiments, the training set is composed by 5 positive labeled samples and 5 negative labeled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samples. For TSVM algorithm, select different number of unlabeled samples to test the performance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TSVM algorithm in different data distributions of unlabeled samples. For TSVMSC algorithm, set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=3,5,7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spectral clustering algorithm. In all the experiments, we use the same test set that contains 300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labeled samples and 300 negative labeled samples. Table 1 shows the learning results of TSVM algorithm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TSVMSC algorithm when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=5, and Table 2 shows the learning results of TSVMSC algorithm when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=3,5,7,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respectively.</w:t>
      </w:r>
    </w:p>
    <w:p>
      <w:pPr>
        <w:autoSpaceDN w:val="0"/>
        <w:autoSpaceDE w:val="0"/>
        <w:widowControl/>
        <w:spacing w:line="180" w:lineRule="exact" w:before="216" w:after="240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Learning results comparision on Reuters data set between TSVM and TSVMSC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6.0" w:type="dxa"/>
      </w:tblPr>
      <w:tblGrid>
        <w:gridCol w:w="2389"/>
        <w:gridCol w:w="2389"/>
        <w:gridCol w:w="2389"/>
        <w:gridCol w:w="2389"/>
      </w:tblGrid>
      <w:tr>
        <w:trPr>
          <w:trHeight w:hRule="exact" w:val="196"/>
        </w:trPr>
        <w:tc>
          <w:tcPr>
            <w:tcW w:type="dxa" w:w="237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of unlabeled samples </w:t>
            </w:r>
          </w:p>
        </w:tc>
        <w:tc>
          <w:tcPr>
            <w:tcW w:type="dxa" w:w="12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Algorithm </w:t>
            </w:r>
          </w:p>
        </w:tc>
        <w:tc>
          <w:tcPr>
            <w:tcW w:type="dxa" w:w="16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Training time (s) </w:t>
            </w:r>
          </w:p>
        </w:tc>
        <w:tc>
          <w:tcPr>
            <w:tcW w:type="dxa" w:w="165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Test precision (%) </w:t>
            </w:r>
          </w:p>
        </w:tc>
      </w:tr>
      <w:tr>
        <w:trPr>
          <w:trHeight w:hRule="exact" w:val="176"/>
        </w:trPr>
        <w:tc>
          <w:tcPr>
            <w:tcW w:type="dxa" w:w="237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Pos=500 </w:t>
            </w:r>
          </w:p>
        </w:tc>
        <w:tc>
          <w:tcPr>
            <w:tcW w:type="dxa" w:w="12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 </w:t>
            </w:r>
          </w:p>
        </w:tc>
        <w:tc>
          <w:tcPr>
            <w:tcW w:type="dxa" w:w="16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133.66 </w:t>
            </w:r>
          </w:p>
        </w:tc>
        <w:tc>
          <w:tcPr>
            <w:tcW w:type="dxa" w:w="165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89.16 </w:t>
            </w:r>
          </w:p>
        </w:tc>
      </w:tr>
      <w:tr>
        <w:trPr>
          <w:trHeight w:hRule="exact" w:val="20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Neg=500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TSVMSC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105.32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90.21 </w:t>
            </w:r>
          </w:p>
        </w:tc>
      </w:tr>
      <w:tr>
        <w:trPr>
          <w:trHeight w:hRule="exact" w:val="18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Pos=500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156.03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95.26 </w:t>
            </w:r>
          </w:p>
        </w:tc>
      </w:tr>
      <w:tr>
        <w:trPr>
          <w:trHeight w:hRule="exact" w:val="18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Neg=1000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TSVMSC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115.35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92.19 </w:t>
            </w:r>
          </w:p>
        </w:tc>
      </w:tr>
      <w:tr>
        <w:trPr>
          <w:trHeight w:hRule="exact" w:val="18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Pos=1000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160.96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72.69 </w:t>
            </w:r>
          </w:p>
        </w:tc>
      </w:tr>
      <w:tr>
        <w:trPr>
          <w:trHeight w:hRule="exact" w:val="18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Neg=500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TSVMSC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115.35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92.19 </w:t>
            </w:r>
          </w:p>
        </w:tc>
      </w:tr>
      <w:tr>
        <w:trPr>
          <w:trHeight w:hRule="exact" w:val="200"/>
        </w:trPr>
        <w:tc>
          <w:tcPr>
            <w:tcW w:type="dxa" w:w="2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Pos=1000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300.56 </w:t>
            </w:r>
          </w:p>
        </w:tc>
        <w:tc>
          <w:tcPr>
            <w:tcW w:type="dxa" w:w="16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91.10 </w:t>
            </w:r>
          </w:p>
        </w:tc>
      </w:tr>
      <w:tr>
        <w:trPr>
          <w:trHeight w:hRule="exact" w:val="186"/>
        </w:trPr>
        <w:tc>
          <w:tcPr>
            <w:tcW w:type="dxa" w:w="2374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Neg=1000 </w:t>
            </w:r>
          </w:p>
        </w:tc>
        <w:tc>
          <w:tcPr>
            <w:tcW w:type="dxa" w:w="12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TSVMSC </w:t>
            </w:r>
          </w:p>
        </w:tc>
        <w:tc>
          <w:tcPr>
            <w:tcW w:type="dxa" w:w="16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236.11 </w:t>
            </w:r>
          </w:p>
        </w:tc>
        <w:tc>
          <w:tcPr>
            <w:tcW w:type="dxa" w:w="1656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93.56 </w:t>
            </w:r>
          </w:p>
        </w:tc>
      </w:tr>
    </w:tbl>
    <w:p>
      <w:pPr>
        <w:autoSpaceDN w:val="0"/>
        <w:autoSpaceDE w:val="0"/>
        <w:widowControl/>
        <w:spacing w:line="230" w:lineRule="exact" w:before="202" w:after="0"/>
        <w:ind w:left="70" w:right="576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Table 1 shows that the TSVM algorithm is not very stable, because for TSVM algorithm the number of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positive labeled samples,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>, in the unlabeled samples set must be artificially specified. However, the value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 xml:space="preserve"> N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is often difficult to make a reasonable estimate. If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 is estimated accurately, the accuracy of the TSVM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algorithm is relatively high, but if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 is not estimated very accurately, the performance of the algorithm can be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greatly affected. However TSVMSC algorithm does not need to estimate the values of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, so the stability of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TSVMSC algorithm is greatly improved compared to TSVM algorithm. As TSVMSC algorithm uses spectral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clustering algorithm to cluster similar samples, and marks them with the same label, so actually this algorithm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use the priori distribution information of unlabeled samples effectively, so the algorithm can reach a higher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level accuracy. </w:t>
      </w:r>
    </w:p>
    <w:p>
      <w:pPr>
        <w:autoSpaceDN w:val="0"/>
        <w:autoSpaceDE w:val="0"/>
        <w:widowControl/>
        <w:spacing w:line="180" w:lineRule="exact" w:before="216" w:after="238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2. Learning results comparision of TSVMSC among different cluster number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1.9999999999999" w:type="dxa"/>
      </w:tblPr>
      <w:tblGrid>
        <w:gridCol w:w="2389"/>
        <w:gridCol w:w="2389"/>
        <w:gridCol w:w="2389"/>
        <w:gridCol w:w="2389"/>
      </w:tblGrid>
      <w:tr>
        <w:trPr>
          <w:trHeight w:hRule="exact" w:val="194"/>
        </w:trPr>
        <w:tc>
          <w:tcPr>
            <w:tcW w:type="dxa" w:w="69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k </w:t>
            </w:r>
          </w:p>
        </w:tc>
        <w:tc>
          <w:tcPr>
            <w:tcW w:type="dxa" w:w="28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5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of unlabeled samples </w:t>
            </w:r>
          </w:p>
        </w:tc>
        <w:tc>
          <w:tcPr>
            <w:tcW w:type="dxa" w:w="17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Training time (s) </w:t>
            </w:r>
          </w:p>
        </w:tc>
        <w:tc>
          <w:tcPr>
            <w:tcW w:type="dxa" w:w="18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Test precision (%) </w:t>
            </w:r>
          </w:p>
        </w:tc>
      </w:tr>
      <w:tr>
        <w:trPr>
          <w:trHeight w:hRule="exact" w:val="182"/>
        </w:trPr>
        <w:tc>
          <w:tcPr>
            <w:tcW w:type="dxa" w:w="69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80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5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1000 </w:t>
            </w:r>
          </w:p>
        </w:tc>
        <w:tc>
          <w:tcPr>
            <w:tcW w:type="dxa" w:w="17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75.60 </w:t>
            </w:r>
          </w:p>
        </w:tc>
        <w:tc>
          <w:tcPr>
            <w:tcW w:type="dxa" w:w="18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86.37 </w:t>
            </w:r>
          </w:p>
        </w:tc>
      </w:tr>
      <w:tr>
        <w:trPr>
          <w:trHeight w:hRule="exact" w:val="180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389"/>
            <w:vMerge/>
            <w:tcBorders>
              <w:top w:sz="4.0" w:val="single" w:color="#000000"/>
            </w:tcBorders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105.32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90.21 </w:t>
            </w:r>
          </w:p>
        </w:tc>
      </w:tr>
      <w:tr>
        <w:trPr>
          <w:trHeight w:hRule="exact" w:val="198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0" w:after="0"/>
              <w:ind w:left="5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1500 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165.23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95.91 </w:t>
            </w:r>
          </w:p>
        </w:tc>
      </w:tr>
      <w:tr>
        <w:trPr>
          <w:trHeight w:hRule="exact" w:val="184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108.16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88.18 </w:t>
            </w:r>
          </w:p>
        </w:tc>
      </w:tr>
      <w:tr>
        <w:trPr>
          <w:trHeight w:hRule="exact" w:val="178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115.35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92.19 </w:t>
            </w:r>
          </w:p>
        </w:tc>
      </w:tr>
      <w:tr>
        <w:trPr>
          <w:trHeight w:hRule="exact" w:val="190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80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78" w:after="0"/>
              <w:ind w:left="5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2000 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181.22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96.77 </w:t>
            </w:r>
          </w:p>
        </w:tc>
      </w:tr>
      <w:tr>
        <w:trPr>
          <w:trHeight w:hRule="exact" w:val="186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389"/>
            <w:vMerge/>
            <w:tcBorders>
              <w:bottom w:sz="4.0" w:val="single" w:color="#000000"/>
            </w:tcBorders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198.77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89.67 </w:t>
            </w:r>
          </w:p>
        </w:tc>
      </w:tr>
      <w:tr>
        <w:trPr>
          <w:trHeight w:hRule="exact" w:val="164"/>
        </w:trPr>
        <w:tc>
          <w:tcPr>
            <w:tcW w:type="dxa" w:w="6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389"/>
            <w:vMerge/>
            <w:tcBorders>
              <w:bottom w:sz="4.0" w:val="single" w:color="#000000"/>
            </w:tcBorders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236.11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93.56 </w:t>
            </w:r>
          </w:p>
        </w:tc>
      </w:tr>
      <w:tr>
        <w:trPr>
          <w:trHeight w:hRule="exact" w:val="204"/>
        </w:trPr>
        <w:tc>
          <w:tcPr>
            <w:tcW w:type="dxa" w:w="69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389"/>
            <w:vMerge/>
            <w:tcBorders>
              <w:bottom w:sz="4.0" w:val="single" w:color="#000000"/>
            </w:tcBorders>
          </w:tcPr>
          <w:p/>
        </w:tc>
        <w:tc>
          <w:tcPr>
            <w:tcW w:type="dxa" w:w="17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310.16 </w:t>
            </w:r>
          </w:p>
        </w:tc>
        <w:tc>
          <w:tcPr>
            <w:tcW w:type="dxa" w:w="18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95.52 </w:t>
            </w:r>
          </w:p>
        </w:tc>
      </w:tr>
    </w:tbl>
    <w:p>
      <w:pPr>
        <w:autoSpaceDN w:val="0"/>
        <w:autoSpaceDE w:val="0"/>
        <w:widowControl/>
        <w:spacing w:line="230" w:lineRule="exact" w:before="204" w:after="0"/>
        <w:ind w:left="70" w:right="59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It can be shown from Table 2 that with the increase of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, the running time of TSVMSC algorithm becomes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longer, which is very easy to understand as the transductive support vector machine learning algorithm needs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to solve the optimization problem (1). With the increase of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, the accuracy of TSVMSC algorithm on the test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set can be increased. This is mainly because the optimization problem can be solved more accurately with the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increase of </w:t>
      </w:r>
      <w:r>
        <w:rPr>
          <w:rFonts w:ascii="TimesNewRomanPS" w:hAnsi="TimesNewRomanPS" w:eastAsia="TimesNewRomanPS"/>
          <w:b w:val="0"/>
          <w:i/>
          <w:color w:val="424242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, so the generalization ability of the algorithm is increased, and correspondingly the accuracy on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>the test set can be improved.</w:t>
      </w:r>
    </w:p>
    <w:p>
      <w:pPr>
        <w:sectPr>
          <w:pgSz w:w="10885" w:h="14854"/>
          <w:pgMar w:top="368" w:right="648" w:bottom="1192" w:left="680" w:header="720" w:footer="720" w:gutter="0"/>
          <w:cols w:space="720" w:num="1" w:equalWidth="0">
            <w:col w:w="9558" w:space="0"/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6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Xu Yu et al. /  AASRI Procedia  1 ( 2012 )  384 – 388 </w:t>
      </w:r>
    </w:p>
    <w:p>
      <w:pPr>
        <w:autoSpaceDN w:val="0"/>
        <w:autoSpaceDE w:val="0"/>
        <w:widowControl/>
        <w:spacing w:line="228" w:lineRule="exact" w:before="364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Conclusion </w:t>
      </w:r>
    </w:p>
    <w:p>
      <w:pPr>
        <w:autoSpaceDN w:val="0"/>
        <w:autoSpaceDE w:val="0"/>
        <w:widowControl/>
        <w:spacing w:line="230" w:lineRule="exact" w:before="242" w:after="0"/>
        <w:ind w:left="72" w:right="576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After a brief introduction of the thought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transductive learning and transductive support vector machine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learning algorithm, TSVM, we proposed a Transductive Support Vector Machine based on Spectral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Clustering, referred to as TSVMSC. </w:t>
      </w:r>
    </w:p>
    <w:p>
      <w:pPr>
        <w:autoSpaceDN w:val="0"/>
        <w:autoSpaceDE w:val="0"/>
        <w:widowControl/>
        <w:spacing w:line="230" w:lineRule="exact" w:before="0" w:after="0"/>
        <w:ind w:left="72" w:right="59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algorithm avoids initially estimating 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 of positive labeled samples and negative labeled samples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unlabeled sample set. Moreover, the spectral clustering algorithm can mine the priori distribution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of the unlabeled samples effectively. The experimental results show that TSVMSC algorithm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achieve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good effect on stability and accuracy. </w:t>
      </w:r>
    </w:p>
    <w:p>
      <w:pPr>
        <w:autoSpaceDN w:val="0"/>
        <w:autoSpaceDE w:val="0"/>
        <w:widowControl/>
        <w:spacing w:line="230" w:lineRule="exact" w:before="0" w:after="0"/>
        <w:ind w:left="72" w:right="58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transductive learning is a relatively new area of research, so many issues are worthy of studying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furtherly. The next research direction is how to determine the number of clusters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more rationally, and how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improve TSVMSC algorithm furtherly according to the data distribution characteristics and the thoughts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algorithms. </w:t>
      </w:r>
    </w:p>
    <w:p>
      <w:pPr>
        <w:autoSpaceDN w:val="0"/>
        <w:autoSpaceDE w:val="0"/>
        <w:widowControl/>
        <w:spacing w:line="228" w:lineRule="exact" w:before="474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0" w:lineRule="exact" w:before="236" w:after="0"/>
        <w:ind w:left="72" w:right="58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project is supported by the National Natural Science Foundation of China (Nos.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60873037,61073041,61073043), the Natural Science Foundation of Heilongjiang Province of China (No.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F200901), Harbin Outstanding Academic Leader Foundation of Heilongjiang Province of China (No.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2011RFXXG015), and Specialized Research Fund for the Doctoral Program of Higher Education of China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(No. 20112304110011). </w:t>
      </w:r>
    </w:p>
    <w:p>
      <w:pPr>
        <w:autoSpaceDN w:val="0"/>
        <w:autoSpaceDE w:val="0"/>
        <w:widowControl/>
        <w:spacing w:line="230" w:lineRule="exact" w:before="476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26" w:lineRule="exact" w:before="20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Vapnik VN. The Nature of Statistical Learning Theory. New York: Springer-Verlag; 1995. </w:t>
      </w:r>
    </w:p>
    <w:p>
      <w:pPr>
        <w:autoSpaceDN w:val="0"/>
        <w:autoSpaceDE w:val="0"/>
        <w:widowControl/>
        <w:spacing w:line="226" w:lineRule="exact" w:before="4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Cortes C, Vapnik VN. Support vector networks. Machine Learning. 1995;20:273-297.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Gammerman A, Vapnik VN, Vowk V. Learning by transduction. In: Proceedings of the 14th Conference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Uncertainty in Artificial Intelligence. Wisconsin; 1998;148-156.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Shi J, Malik J. Normalized cuts and image segmentation. IEEE Transactions on Pattern Analysis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 Intelligence. 2000;22:888-905. </w:t>
      </w:r>
    </w:p>
    <w:p>
      <w:pPr>
        <w:autoSpaceDN w:val="0"/>
        <w:autoSpaceDE w:val="0"/>
        <w:widowControl/>
        <w:spacing w:line="230" w:lineRule="exact" w:before="0" w:after="0"/>
        <w:ind w:left="72" w:right="5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Joachims T. Transductive inference for text classification using support vector machines. In: Proceedings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16th International Conference on Machine Learning (ICML). San Francisco: Morgan Kaufmann;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1999;200-209. </w:t>
      </w:r>
    </w:p>
    <w:p>
      <w:pPr>
        <w:autoSpaceDN w:val="0"/>
        <w:autoSpaceDE w:val="0"/>
        <w:widowControl/>
        <w:spacing w:line="228" w:lineRule="exact" w:before="4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Joachims T. SVMlight. http://www-ai.cs.uni-ortmund.de/SOFTWARE/SVM_LIGHT/svm_light.eng.html,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2001. </w:t>
      </w:r>
    </w:p>
    <w:p>
      <w:pPr>
        <w:autoSpaceDN w:val="0"/>
        <w:autoSpaceDE w:val="0"/>
        <w:widowControl/>
        <w:spacing w:line="232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Burges CJC. A tutorial on support vector machine for pattern recognition. Data Mining and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Discovery. 1998;2:121-167. </w:t>
      </w:r>
    </w:p>
    <w:sectPr w:rsidR="00FC693F" w:rsidRPr="0006063C" w:rsidSect="00034616">
      <w:pgSz w:w="10885" w:h="14854"/>
      <w:pgMar w:top="368" w:right="706" w:bottom="1440" w:left="624" w:header="720" w:footer="720" w:gutter="0"/>
      <w:cols w:space="720" w:num="1" w:equalWidth="0">
        <w:col w:w="9556" w:space="0"/>
        <w:col w:w="9558" w:space="0"/>
        <w:col w:w="9560" w:space="0"/>
        <w:col w:w="955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