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2" w:lineRule="auto" w:before="0" w:after="210"/>
        <w:ind w:left="0" w:right="0" w:firstLine="0"/>
        <w:jc w:val="center"/>
      </w:pPr>
      <w:r>
        <w:rPr>
          <w:w w:val="102.47142655508858"/>
          <w:rFonts w:ascii="Charis SIL" w:hAnsi="Charis SIL" w:eastAsia="Charis SIL"/>
          <w:b w:val="0"/>
          <w:i w:val="0"/>
          <w:color w:val="09769F"/>
          <w:sz w:val="14"/>
        </w:rPr>
        <w:hyperlink r:id="rId9" w:history="1">
          <w:r>
            <w:rPr>
              <w:rStyle w:val="Hyperlink"/>
            </w:rPr>
            <w:t>Array 19 (2023) 100299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3478"/>
        <w:gridCol w:w="3478"/>
        <w:gridCol w:w="3478"/>
      </w:tblGrid>
      <w:tr>
        <w:trPr>
          <w:trHeight w:hRule="exact" w:val="404"/>
        </w:trPr>
        <w:tc>
          <w:tcPr>
            <w:tcW w:type="dxa" w:w="1450"/>
            <w:vMerge w:val="restart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" w:after="0"/>
              <w:ind w:left="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5649" cy="83058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49" cy="8305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42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62" w:after="0"/>
              <w:ind w:left="0" w:right="0" w:firstLine="0"/>
              <w:jc w:val="center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Contents lists available at</w:t>
            </w:r>
            <w:r>
              <w:rPr>
                <w:rFonts w:ascii="Charis SIL" w:hAnsi="Charis SIL" w:eastAsia="Charis SIL"/>
                <w:b w:val="0"/>
                <w:i w:val="0"/>
                <w:color w:val="007FAC"/>
                <w:sz w:val="16"/>
              </w:rPr>
              <w:t xml:space="preserve"> </w:t>
            </w:r>
            <w:r>
              <w:rPr>
                <w:rFonts w:ascii="Charis SIL" w:hAnsi="Charis SIL" w:eastAsia="Charis SIL"/>
                <w:b w:val="0"/>
                <w:i w:val="0"/>
                <w:color w:val="007FAC"/>
                <w:sz w:val="16"/>
              </w:rPr>
              <w:hyperlink r:id="rId11" w:history="1">
                <w:r>
                  <w:rPr>
                    <w:rStyle w:val="Hyperlink"/>
                  </w:rPr>
                  <w:t>ScienceDirect</w:t>
                </w:r>
              </w:hyperlink>
            </w:r>
          </w:p>
        </w:tc>
        <w:tc>
          <w:tcPr>
            <w:tcW w:type="dxa" w:w="1410"/>
            <w:vMerge w:val="restart"/>
            <w:tcBorders>
              <w:top w:sz="2.3919999599456787" w:val="single" w:color="#000000"/>
              <w:end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1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5650" cy="9080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" cy="908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78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754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74" w:after="0"/>
              <w:ind w:left="0" w:right="0" w:firstLine="0"/>
              <w:jc w:val="center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28"/>
              </w:rPr>
              <w:t>Array</w:t>
            </w:r>
          </w:p>
        </w:tc>
        <w:tc>
          <w:tcPr>
            <w:tcW w:type="dxa" w:w="3478"/>
            <w:vMerge/>
            <w:tcBorders>
              <w:top w:sz="2.3919999599456787" w:val="single" w:color="#000000"/>
              <w:end w:sz="3.9839999675750732" w:val="single" w:color="#000000"/>
            </w:tcBorders>
          </w:tcPr>
          <w:p/>
        </w:tc>
      </w:tr>
      <w:tr>
        <w:trPr>
          <w:trHeight w:hRule="exact" w:val="348"/>
        </w:trPr>
        <w:tc>
          <w:tcPr>
            <w:tcW w:type="dxa" w:w="3478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754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2" w:after="0"/>
              <w:ind w:left="0" w:right="0" w:firstLine="0"/>
              <w:jc w:val="center"/>
            </w:pPr>
            <w:r>
              <w:rPr>
                <w:rFonts w:ascii="t1" w:hAnsi="t1" w:eastAsia="t1"/>
                <w:b w:val="0"/>
                <w:i w:val="0"/>
                <w:color w:val="000000"/>
                <w:sz w:val="16"/>
              </w:rPr>
              <w:t>journal homepage:</w:t>
            </w:r>
            <w:r>
              <w:rPr>
                <w:rFonts w:ascii="t1" w:hAnsi="t1" w:eastAsia="t1"/>
                <w:b w:val="0"/>
                <w:i w:val="0"/>
                <w:color w:val="007FAC"/>
                <w:sz w:val="16"/>
              </w:rPr>
              <w:t xml:space="preserve"> </w:t>
            </w:r>
            <w:r>
              <w:rPr>
                <w:rFonts w:ascii="t1" w:hAnsi="t1" w:eastAsia="t1"/>
                <w:b w:val="0"/>
                <w:i w:val="0"/>
                <w:color w:val="007FAC"/>
                <w:sz w:val="16"/>
              </w:rPr>
              <w:hyperlink r:id="rId13" w:history="1">
                <w:r>
                  <w:rPr>
                    <w:rStyle w:val="Hyperlink"/>
                  </w:rPr>
                  <w:t>www.elsevier.com/locate/array</w:t>
                </w:r>
              </w:hyperlink>
            </w:r>
          </w:p>
        </w:tc>
        <w:tc>
          <w:tcPr>
            <w:tcW w:type="dxa" w:w="3478"/>
            <w:vMerge/>
            <w:tcBorders>
              <w:top w:sz="2.3919999599456787" w:val="single" w:color="#000000"/>
              <w:end w:sz="3.9839999675750732" w:val="single" w:color="#000000"/>
            </w:tcBorders>
          </w:tcPr>
          <w:p/>
        </w:tc>
      </w:tr>
      <w:tr>
        <w:trPr>
          <w:trHeight w:hRule="exact" w:val="144"/>
        </w:trPr>
        <w:tc>
          <w:tcPr>
            <w:tcW w:type="dxa" w:w="10402"/>
            <w:gridSpan w:val="3"/>
            <w:tcBorders>
              <w:bottom w:sz="2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34" w:lineRule="exact" w:before="658" w:after="0"/>
        <w:ind w:left="6" w:right="1728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27"/>
        </w:rPr>
        <w:t xml:space="preserve">A hybrid recommendation scheme for delay-tolerant networks: The case of </w:t>
      </w:r>
      <w:r>
        <w:rPr>
          <w:rFonts w:ascii="Charis SIL" w:hAnsi="Charis SIL" w:eastAsia="Charis SIL"/>
          <w:b w:val="0"/>
          <w:i w:val="0"/>
          <w:color w:val="000000"/>
          <w:sz w:val="27"/>
        </w:rPr>
        <w:t>digital marketplaces</w:t>
      </w:r>
      <w:r>
        <w:rPr>
          <w:rFonts w:ascii="Dingbats" w:hAnsi="Dingbats" w:eastAsia="Dingbats"/>
          <w:b w:val="0"/>
          <w:i w:val="0"/>
          <w:color w:val="007FAC"/>
          <w:sz w:val="18"/>
        </w:rPr>
        <w:t>✩</w:t>
      </w:r>
      <w:r>
        <w:br/>
      </w:r>
      <w:r>
        <w:rPr>
          <w:rFonts w:ascii="Charis SIL" w:hAnsi="Charis SIL" w:eastAsia="Charis SIL"/>
          <w:b w:val="0"/>
          <w:i w:val="0"/>
          <w:color w:val="000000"/>
          <w:sz w:val="21"/>
        </w:rPr>
        <w:t>Victor M. Romero II</w:t>
      </w:r>
      <w:r>
        <w:rPr>
          <w:w w:val="98.56266657511394"/>
          <w:rFonts w:ascii="STIXMath" w:hAnsi="STIXMath" w:eastAsia="STIXMath"/>
          <w:b w:val="0"/>
          <w:i w:val="0"/>
          <w:color w:val="007FAC"/>
          <w:sz w:val="15"/>
        </w:rPr>
        <w:t>∗</w:t>
      </w:r>
      <w:r>
        <w:rPr>
          <w:rFonts w:ascii="Charis SIL" w:hAnsi="Charis SIL" w:eastAsia="Charis SIL"/>
          <w:b w:val="0"/>
          <w:i w:val="0"/>
          <w:color w:val="000000"/>
          <w:sz w:val="21"/>
        </w:rPr>
        <w:t>, Bea D. Santiago, Jay Martin Z. Nuevo</w:t>
      </w:r>
    </w:p>
    <w:p>
      <w:pPr>
        <w:autoSpaceDN w:val="0"/>
        <w:autoSpaceDE w:val="0"/>
        <w:widowControl/>
        <w:spacing w:line="245" w:lineRule="auto" w:before="0" w:after="50"/>
        <w:ind w:left="6" w:right="2880" w:firstLine="0"/>
        <w:jc w:val="left"/>
      </w:pPr>
      <w:r>
        <w:rPr>
          <w:w w:val="98.09384712806116"/>
          <w:rFonts w:ascii="Charis SIL" w:hAnsi="Charis SIL" w:eastAsia="Charis SIL"/>
          <w:b w:val="0"/>
          <w:i/>
          <w:color w:val="000000"/>
          <w:sz w:val="13"/>
        </w:rPr>
        <w:t xml:space="preserve">Division of Natural Sciences and Mathematics, University of the Philippines Visayas Tacloban College, Magsaysay Boulevard, Tacloban </w:t>
      </w:r>
      <w:r>
        <w:rPr>
          <w:w w:val="98.09384712806116"/>
          <w:rFonts w:ascii="Charis SIL" w:hAnsi="Charis SIL" w:eastAsia="Charis SIL"/>
          <w:b w:val="0"/>
          <w:i/>
          <w:color w:val="000000"/>
          <w:sz w:val="13"/>
        </w:rPr>
        <w:t>City, 6500, Leyte, Philippines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3478"/>
        <w:gridCol w:w="3478"/>
        <w:gridCol w:w="3478"/>
      </w:tblGrid>
      <w:tr>
        <w:trPr>
          <w:trHeight w:hRule="exact" w:val="654"/>
        </w:trPr>
        <w:tc>
          <w:tcPr>
            <w:tcW w:type="dxa" w:w="127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212" w:after="0"/>
              <w:ind w:left="4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8"/>
              </w:rPr>
              <w:t>A R T I C L E</w:t>
            </w:r>
          </w:p>
        </w:tc>
        <w:tc>
          <w:tcPr>
            <w:tcW w:type="dxa" w:w="14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212" w:after="0"/>
              <w:ind w:left="18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8"/>
              </w:rPr>
              <w:t>I N F O</w:t>
            </w:r>
          </w:p>
        </w:tc>
        <w:tc>
          <w:tcPr>
            <w:tcW w:type="dxa" w:w="77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212" w:after="0"/>
              <w:ind w:left="620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8"/>
              </w:rPr>
              <w:t>A B S T R A C T</w:t>
            </w:r>
          </w:p>
        </w:tc>
      </w:tr>
      <w:tr>
        <w:trPr>
          <w:trHeight w:hRule="exact" w:val="560"/>
        </w:trPr>
        <w:tc>
          <w:tcPr>
            <w:tcW w:type="dxa" w:w="127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4" w:right="976" w:firstLine="0"/>
              <w:jc w:val="both"/>
            </w:pPr>
            <w:r>
              <w:rPr>
                <w:w w:val="98.09384712806116"/>
                <w:rFonts w:ascii="Charis SIL" w:hAnsi="Charis SIL" w:eastAsia="Charis SIL"/>
                <w:b w:val="0"/>
                <w:i/>
                <w:color w:val="000000"/>
                <w:sz w:val="13"/>
              </w:rPr>
              <w:t xml:space="preserve">MSC: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0000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1111</w:t>
            </w:r>
          </w:p>
        </w:tc>
        <w:tc>
          <w:tcPr>
            <w:tcW w:type="dxa" w:w="140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7738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620" w:right="32" w:firstLine="0"/>
              <w:jc w:val="both"/>
            </w:pPr>
            <w:r>
              <w:rPr>
                <w:w w:val="102.4728570665632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>Recommender systems are widely-adopted by numerous popular e-commerce sites, such as Amazon and E-</w:t>
            </w:r>
            <w:r>
              <w:rPr>
                <w:w w:val="102.4728570665632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bay, to help users find products that they might like. Although much has been achieved in the area, most </w:t>
            </w:r>
            <w:r>
              <w:rPr>
                <w:w w:val="102.4728570665632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recommender systems are designed to work on top of centralized platforms that are traditionally supported </w:t>
            </w:r>
            <w:r>
              <w:rPr>
                <w:w w:val="102.4728570665632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by fixed infrastructure like the Internet. Hence, additional work is warranted to examine the applicability </w:t>
            </w:r>
            <w:r>
              <w:rPr>
                <w:w w:val="102.4728570665632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and performance of recommender systems in challenging environments that are characterized by dynamic </w:t>
            </w:r>
            <w:r>
              <w:rPr>
                <w:w w:val="102.4728570665632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network topology and variable transmission delays. This study deals with the design of a recommender </w:t>
            </w:r>
            <w:r>
              <w:rPr>
                <w:w w:val="102.4728570665632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system that is compatible in a delay-tolerant network where communication is supported by opportunistic </w:t>
            </w:r>
            <w:r>
              <w:rPr>
                <w:w w:val="102.4728570665632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>encounters between participating nodes. The proposed approach combines collaborative filtering and content-</w:t>
            </w:r>
            <w:r>
              <w:rPr>
                <w:w w:val="102.4728570665632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based filtering techniques to generate rating predictions for users. To make the system more tolerant against </w:t>
            </w:r>
            <w:r>
              <w:rPr>
                <w:w w:val="102.4728570665632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interruptions, each node maintains a local recommender that generates predictions using user profiles that </w:t>
            </w:r>
            <w:r>
              <w:rPr>
                <w:w w:val="102.4728570665632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are obtained through opportunistic exchanges over a clustered topology. Simulation results indicate that the </w:t>
            </w:r>
            <w:r>
              <w:rPr>
                <w:w w:val="102.4728570665632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>proposed approach is able to improve coverage while alleviating the cold-start problem.</w:t>
            </w:r>
          </w:p>
        </w:tc>
      </w:tr>
      <w:tr>
        <w:trPr>
          <w:trHeight w:hRule="exact" w:val="1866"/>
        </w:trPr>
        <w:tc>
          <w:tcPr>
            <w:tcW w:type="dxa" w:w="127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0" w:after="0"/>
              <w:ind w:left="4" w:right="0" w:firstLine="0"/>
              <w:jc w:val="left"/>
            </w:pPr>
            <w:r>
              <w:rPr>
                <w:w w:val="98.09384712806116"/>
                <w:rFonts w:ascii="Charis SIL" w:hAnsi="Charis SIL" w:eastAsia="Charis SIL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Delay-tolerant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Digital marketplace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Recommender systems</w:t>
            </w:r>
          </w:p>
        </w:tc>
        <w:tc>
          <w:tcPr>
            <w:tcW w:type="dxa" w:w="3478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478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236"/>
        <w:ind w:left="0" w:right="0"/>
      </w:pPr>
    </w:p>
    <w:p>
      <w:pPr>
        <w:sectPr>
          <w:pgSz w:w="11906" w:h="15874"/>
          <w:pgMar w:top="334" w:right="726" w:bottom="496" w:left="746" w:header="720" w:footer="720" w:gutter="0"/>
          <w:cols w:space="720" w:num="1" w:equalWidth="0"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64" w:lineRule="auto" w:before="0" w:after="0"/>
        <w:ind w:left="6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>1. Introduction</w:t>
      </w:r>
    </w:p>
    <w:p>
      <w:pPr>
        <w:autoSpaceDN w:val="0"/>
        <w:autoSpaceDE w:val="0"/>
        <w:widowControl/>
        <w:spacing w:line="245" w:lineRule="auto" w:before="140" w:after="0"/>
        <w:ind w:left="6" w:right="178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Delay-Tolerant Networks (DTN) are communication networks that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are specifically created to operate in challenging environments lacking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fixed infrastructure or where traditional networking is not feasible.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These environments include isolated and remote areas as well as inter-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planetary communication. In the absence of fixed infrastructures, DTNs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leverage readily available wireless interfaces and opportunistic encoun-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ters between mobile participating nodes. Consequently, these networks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exhibit characteristics such as high and fluctuating transmission delays,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absence or failure of end-to-end paths, and significant node mobil-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ity [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,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2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In order to facilitate communication in such an unpredictable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and highly dynamic environment, the network relies on a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store-carry-</w:t>
      </w:r>
      <w:r>
        <w:rPr>
          <w:rFonts w:ascii="Charis SIL" w:hAnsi="Charis SIL" w:eastAsia="Charis SIL"/>
          <w:b w:val="0"/>
          <w:i/>
          <w:color w:val="000000"/>
          <w:sz w:val="16"/>
        </w:rPr>
        <w:t>forward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mechanism to tolerate delay and achieve incremental progress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until the message is received by the intended destination [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3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process of how messages are propagated in a DTN is depicted in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 xml:space="preserve"> Fig. 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When a source node needs to send a message, it first stores the message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 its buffer until it encounters another node. If the second node meets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forwarding conditions and is capable of carrying the message,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source node forwards the message to the second node. The second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node then carries the message until it encounters another node that</w:t>
      </w:r>
    </w:p>
    <w:p>
      <w:pPr>
        <w:sectPr>
          <w:type w:val="continuous"/>
          <w:pgSz w:w="11906" w:h="15874"/>
          <w:pgMar w:top="334" w:right="726" w:bottom="496" w:left="746" w:header="720" w:footer="720" w:gutter="0"/>
          <w:cols w:space="720" w:num="2" w:equalWidth="0"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420" w:val="left"/>
        </w:tabs>
        <w:autoSpaceDE w:val="0"/>
        <w:widowControl/>
        <w:spacing w:line="245" w:lineRule="auto" w:before="0" w:after="426"/>
        <w:ind w:left="180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can further forward it. This series of forwarding continues through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intermediate nodes until the message reaches the destination node. </w:t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It has been proposed that electronic commerce can be supported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effectively by delay-tolerant networking over an infrastructure charac-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terized by high transmission delay [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4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This type of system could bring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advantages to both consumers and entrepreneurs, even when compared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to the traditional Internet. E-commerce, along with other Internet-based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services like email, social network, and media streaming, naturally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aligns with delay-tolerant networking because it does not require brief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round trip time and is asynchronous. However, in order for e-commerce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to be viable in a delay-tolerant environment, it is important to minimize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number of query/response interactions that occur while the user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interacts with the server. To address this, more computational tasks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must be transferred to the user devices, including relocation of code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(such as rendering order forms) and data (such as shopping cata-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logs). By adopting this approach, users can effortlessly browse products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compare prices without being dependent on server availability.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Moreover, they become immune to delays and interruptions caused by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congestion in the network infrastructure. Opportunistic encounters 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the DTN-based digital marketplace can be focused instead on the prop-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agation of product information towards the incremental completion</w:t>
      </w:r>
    </w:p>
    <w:p>
      <w:pPr>
        <w:sectPr>
          <w:type w:val="nextColumn"/>
          <w:pgSz w:w="11906" w:h="15874"/>
          <w:pgMar w:top="334" w:right="726" w:bottom="496" w:left="746" w:header="720" w:footer="720" w:gutter="0"/>
          <w:cols w:space="720" w:num="2" w:equalWidth="0"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100" w:val="left"/>
        </w:tabs>
        <w:autoSpaceDE w:val="0"/>
        <w:widowControl/>
        <w:spacing w:line="190" w:lineRule="exact" w:before="120" w:after="0"/>
        <w:ind w:left="6" w:right="0" w:firstLine="0"/>
        <w:jc w:val="left"/>
      </w:pPr>
      <w:r>
        <w:rPr>
          <w:rFonts w:ascii="Dingbats" w:hAnsi="Dingbats" w:eastAsia="Dingbats"/>
          <w:b w:val="0"/>
          <w:i w:val="0"/>
          <w:color w:val="000000"/>
          <w:sz w:val="14"/>
        </w:rPr>
        <w:t>✩</w:t>
      </w:r>
      <w:r>
        <w:rPr>
          <w:w w:val="102.4728570665632"/>
          <w:rFonts w:ascii="Charis SIL" w:hAnsi="Charis SIL" w:eastAsia="Charis SIL"/>
          <w:b w:val="0"/>
          <w:i w:val="0"/>
          <w:color w:val="000000"/>
          <w:sz w:val="14"/>
        </w:rPr>
        <w:t xml:space="preserve"> This study was made possible through the support of the University of the Philippines Visayas Office of the Vice Chancellor for Research and Extension </w:t>
      </w:r>
      <w:r>
        <w:rPr>
          <w:w w:val="102.4728570665632"/>
          <w:rFonts w:ascii="Charis SIL" w:hAnsi="Charis SIL" w:eastAsia="Charis SIL"/>
          <w:b w:val="0"/>
          <w:i w:val="0"/>
          <w:color w:val="000000"/>
          <w:sz w:val="14"/>
        </w:rPr>
        <w:t>(Regular In-house Research Grant).</w:t>
      </w:r>
    </w:p>
    <w:p>
      <w:pPr>
        <w:autoSpaceDN w:val="0"/>
        <w:autoSpaceDE w:val="0"/>
        <w:widowControl/>
        <w:spacing w:line="308" w:lineRule="exact" w:before="0" w:after="0"/>
        <w:ind w:left="142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4"/>
        </w:rPr>
        <w:t>∗</w:t>
      </w:r>
      <w:r>
        <w:rPr>
          <w:w w:val="102.4728570665632"/>
          <w:rFonts w:ascii="Charis SIL" w:hAnsi="Charis SIL" w:eastAsia="Charis SIL"/>
          <w:b w:val="0"/>
          <w:i w:val="0"/>
          <w:color w:val="000000"/>
          <w:sz w:val="14"/>
        </w:rPr>
        <w:t xml:space="preserve"> Corresponding a</w:t>
      </w:r>
      <w:r>
        <w:rPr>
          <w:w w:val="102.4728570665632"/>
          <w:rFonts w:ascii="Charis SIL" w:hAnsi="Charis SIL" w:eastAsia="Charis SIL"/>
          <w:b w:val="0"/>
          <w:i w:val="0"/>
          <w:color w:val="000000"/>
          <w:sz w:val="14"/>
        </w:rPr>
        <w:hyperlink r:id="rId14" w:history="1">
          <w:r>
            <w:rPr>
              <w:rStyle w:val="Hyperlink"/>
            </w:rPr>
            <w:t>uthor.</w:t>
          </w:r>
        </w:hyperlink>
      </w:r>
    </w:p>
    <w:p>
      <w:pPr>
        <w:autoSpaceDN w:val="0"/>
        <w:autoSpaceDE w:val="0"/>
        <w:widowControl/>
        <w:spacing w:line="264" w:lineRule="auto" w:before="0" w:after="0"/>
        <w:ind w:left="304" w:right="0" w:firstLine="0"/>
        <w:jc w:val="left"/>
      </w:pPr>
      <w:r>
        <w:rPr>
          <w:w w:val="102.4728570665632"/>
          <w:rFonts w:ascii="Charis SIL" w:hAnsi="Charis SIL" w:eastAsia="Charis SIL"/>
          <w:b w:val="0"/>
          <w:i/>
          <w:color w:val="000000"/>
          <w:sz w:val="14"/>
        </w:rPr>
        <w:t>E-mail address:</w:t>
      </w:r>
      <w:r>
        <w:rPr>
          <w:w w:val="102.4728570665632"/>
          <w:rFonts w:ascii="Charis SIL" w:hAnsi="Charis SIL" w:eastAsia="Charis 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 SIL" w:hAnsi="Charis SIL" w:eastAsia="Charis SIL"/>
          <w:b w:val="0"/>
          <w:i w:val="0"/>
          <w:color w:val="007FAC"/>
          <w:sz w:val="14"/>
        </w:rPr>
        <w:hyperlink r:id="rId14" w:history="1">
          <w:r>
            <w:rPr>
              <w:rStyle w:val="Hyperlink"/>
            </w:rPr>
            <w:t>vmromero@up.edu.ph</w:t>
          </w:r>
        </w:hyperlink>
      </w:r>
      <w:r>
        <w:rPr>
          <w:w w:val="102.4728570665632"/>
          <w:rFonts w:ascii="Charis SIL" w:hAnsi="Charis SIL" w:eastAsia="Charis SIL"/>
          <w:b w:val="0"/>
          <w:i w:val="0"/>
          <w:color w:val="000000"/>
          <w:sz w:val="14"/>
        </w:rPr>
        <w:t xml:space="preserve"> (V.M. Romero II).</w:t>
      </w:r>
    </w:p>
    <w:p>
      <w:pPr>
        <w:autoSpaceDN w:val="0"/>
        <w:autoSpaceDE w:val="0"/>
        <w:widowControl/>
        <w:spacing w:line="245" w:lineRule="auto" w:before="78" w:after="0"/>
        <w:ind w:left="4" w:right="0" w:firstLine="0"/>
        <w:jc w:val="left"/>
      </w:pPr>
      <w:r>
        <w:rPr>
          <w:w w:val="102.4728570665632"/>
          <w:rFonts w:ascii="Charis SIL" w:hAnsi="Charis SIL" w:eastAsia="Charis SIL"/>
          <w:b w:val="0"/>
          <w:i w:val="0"/>
          <w:color w:val="007FAC"/>
          <w:sz w:val="14"/>
        </w:rPr>
        <w:hyperlink r:id="rId9" w:history="1">
          <w:r>
            <w:rPr>
              <w:rStyle w:val="Hyperlink"/>
            </w:rPr>
            <w:t xml:space="preserve">https://doi.org/10.1016/j.array.2023.100299 </w:t>
          </w:r>
        </w:hyperlink>
      </w:r>
      <w:r>
        <w:br/>
      </w:r>
      <w:r>
        <w:rPr>
          <w:w w:val="102.4728570665632"/>
          <w:rFonts w:ascii="Charis SIL" w:hAnsi="Charis SIL" w:eastAsia="Charis 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 30 December 2022; Received in rev</w:t>
          </w:r>
        </w:hyperlink>
      </w:r>
      <w:r>
        <w:rPr>
          <w:w w:val="102.4728570665632"/>
          <w:rFonts w:ascii="Charis SIL" w:hAnsi="Charis SIL" w:eastAsia="Charis SIL"/>
          <w:b w:val="0"/>
          <w:i w:val="0"/>
          <w:color w:val="000000"/>
          <w:sz w:val="14"/>
        </w:rPr>
        <w:t xml:space="preserve">ised form 4 June 2023; Accepted 11 June 2023 </w:t>
      </w:r>
      <w:r>
        <w:br/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Available online 15 June 2023 </w:t>
      </w:r>
      <w:r>
        <w:br/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2590-0056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>/© 2023 The Authors. Published by Elsevier Inc. This is an open access article under the CC BY-NC-ND license (</w:t>
      </w:r>
      <w:r>
        <w:rPr>
          <w:w w:val="102.47142655508858"/>
          <w:rFonts w:ascii="Charis SIL" w:hAnsi="Charis SIL" w:eastAsia="Charis SIL"/>
          <w:b w:val="0"/>
          <w:i w:val="0"/>
          <w:color w:val="09769F"/>
          <w:sz w:val="14"/>
        </w:rPr>
        <w:hyperlink r:id="rId15" w:history="1">
          <w:r>
            <w:rPr>
              <w:rStyle w:val="Hyperlink"/>
            </w:rPr>
            <w:t>http://creativecommons.org/licenses/by-</w:t>
          </w:r>
        </w:hyperlink>
      </w:r>
    </w:p>
    <w:p>
      <w:pPr>
        <w:autoSpaceDN w:val="0"/>
        <w:autoSpaceDE w:val="0"/>
        <w:widowControl/>
        <w:spacing w:line="240" w:lineRule="auto" w:before="0" w:after="0"/>
        <w:ind w:left="4" w:right="0" w:firstLine="0"/>
        <w:jc w:val="left"/>
      </w:pPr>
      <w:r>
        <w:rPr>
          <w:w w:val="102.47142655508858"/>
          <w:rFonts w:ascii="Charis SIL" w:hAnsi="Charis SIL" w:eastAsia="Charis SIL"/>
          <w:b w:val="0"/>
          <w:i w:val="0"/>
          <w:color w:val="09769F"/>
          <w:sz w:val="14"/>
        </w:rPr>
        <w:hyperlink r:id="rId15" w:history="1">
          <w:r>
            <w:rPr>
              <w:rStyle w:val="Hyperlink"/>
            </w:rPr>
            <w:t>nc-nd/4.0/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34" w:right="726" w:bottom="496" w:left="746" w:header="720" w:footer="720" w:gutter="0"/>
          <w:cols w:space="720" w:num="1" w:equalWidth="0"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64" w:lineRule="auto" w:before="0" w:after="0"/>
        <w:ind w:left="0" w:right="0" w:firstLine="0"/>
        <w:jc w:val="left"/>
      </w:pPr>
      <w:r>
        <w:rPr>
          <w:w w:val="98.09384712806116"/>
          <w:rFonts w:ascii="Charis SIL" w:hAnsi="Charis SIL" w:eastAsia="Charis SIL"/>
          <w:b w:val="0"/>
          <w:i/>
          <w:color w:val="000000"/>
          <w:sz w:val="13"/>
        </w:rPr>
        <w:t xml:space="preserve">V.M. Romero II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100299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76800" cy="248031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80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4" w:lineRule="auto" w:before="376" w:after="482"/>
        <w:ind w:left="0" w:right="0" w:firstLine="0"/>
        <w:jc w:val="center"/>
      </w:pPr>
      <w:r>
        <w:rPr>
          <w:w w:val="98.09384712806116"/>
          <w:rFonts w:ascii="Charis SIL" w:hAnsi="Charis SIL" w:eastAsia="Charis SIL"/>
          <w:b/>
          <w:i w:val="0"/>
          <w:color w:val="000000"/>
          <w:sz w:val="13"/>
        </w:rPr>
        <w:t>Fig. 1.</w:t>
      </w: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 xml:space="preserve"> Store-carry-forward mechanism in DTN taken from [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t>3</w:t>
      </w: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>].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3970" w:val="left"/>
        </w:tabs>
        <w:autoSpaceDE w:val="0"/>
        <w:widowControl/>
        <w:spacing w:line="245" w:lineRule="auto" w:before="0" w:after="0"/>
        <w:ind w:left="0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of locally stored product database and requests for order fulfillment.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Although the envisioned system in [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4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 was not implemented, the author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has highlighted key design considerations and advantages including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exploitation of available computing power in end devices, reduction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server requirements, and potential to increase revenue by eliminating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entry barriers. We independently developed a prototype of a DTN-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based digital marketplace motivated by the potential of delay-tolerant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networking in bridging the opportunity gap caused by the disparity 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Internet access across different areas in the Philippines. The application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was specifically designed for the Android operating system and utilized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IBR-DTN’s Application Programming Interface (API) </w:t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[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5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 to convert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user actions, such as product registration and chat, into bundles that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could be distributed within the network. The application provided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consistent set of functions to all users, enabling them to simultaneously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assume the roles of both buyers and sellers. By capitalizing on existing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network interfaces and leveraging opportunistic encounters, the result-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ing delay-tolerant digital marketplace was able to operate without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need for additional hardware or network requirements.</w:t>
      </w:r>
    </w:p>
    <w:p>
      <w:pPr>
        <w:autoSpaceDN w:val="0"/>
        <w:autoSpaceDE w:val="0"/>
        <w:widowControl/>
        <w:spacing w:line="245" w:lineRule="auto" w:before="0" w:after="0"/>
        <w:ind w:left="0" w:right="74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Similar to traditional online counterparts, the number of available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products in a DTN-based digital marketplace is expected to grow as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more users join the platform. This growth is amplified by the fact that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different sellers can list similar products in their individual catalogs.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Eventually, the product database outgrows the capacity of human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agents to browse through and compare products, which could hinder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meaningful interactions such as commitment of transactions [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6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]. Sev-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eral approaches have been proposed to address information overload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 digital marketplaces. Each approach can be characterized using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common framework that is based on two variables: personalization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automation. One example of an impersonal and automatic approach 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utilization of best seller lists generated from transaction reports.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On the other hand, there are digital services that offer personalized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filtering options, allowing users to navigate through large databases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based on specific criteria, but requiring manual input from the users.</w:t>
      </w:r>
    </w:p>
    <w:p>
      <w:pPr>
        <w:autoSpaceDN w:val="0"/>
        <w:autoSpaceDE w:val="0"/>
        <w:widowControl/>
        <w:spacing w:line="264" w:lineRule="auto" w:before="124" w:after="0"/>
        <w:ind w:left="0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>1.1. Recommender systems</w:t>
      </w:r>
    </w:p>
    <w:p>
      <w:pPr>
        <w:autoSpaceDN w:val="0"/>
        <w:autoSpaceDE w:val="0"/>
        <w:widowControl/>
        <w:spacing w:line="245" w:lineRule="auto" w:before="126" w:after="0"/>
        <w:ind w:left="0" w:right="74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Recommender Systems provide a personalized and automated so-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lution to address the information overload challenge. These software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tools assist users in navigating overwhelming product catalogs by ana-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lyzing their preferences and recommending items that are more likely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to be of interest to them. While recommender systems are commonly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used in e-commerce, their application extends to various other fields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76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64" w:lineRule="auto" w:before="0" w:after="226"/>
        <w:ind w:left="0" w:right="0" w:firstLine="0"/>
        <w:jc w:val="left"/>
      </w:pPr>
      <w:r>
        <w:rPr>
          <w:w w:val="98.09384712806116"/>
          <w:rFonts w:ascii="Charis SIL" w:hAnsi="Charis SIL" w:eastAsia="Charis SIL"/>
          <w:b w:val="0"/>
          <w:i/>
          <w:color w:val="000000"/>
          <w:sz w:val="13"/>
        </w:rPr>
        <w:t xml:space="preserve">V.M. Romero II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100299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133600" cy="26225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622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4" w:lineRule="auto" w:before="178" w:after="0"/>
        <w:ind w:left="0" w:right="0" w:firstLine="0"/>
        <w:jc w:val="center"/>
      </w:pPr>
      <w:r>
        <w:rPr>
          <w:w w:val="98.09384712806116"/>
          <w:rFonts w:ascii="Charis SIL" w:hAnsi="Charis SIL" w:eastAsia="Charis SIL"/>
          <w:b/>
          <w:i w:val="0"/>
          <w:color w:val="000000"/>
          <w:sz w:val="13"/>
        </w:rPr>
        <w:t>Fig. 2.</w:t>
      </w: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 xml:space="preserve"> Phases of recommendation process taken from [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t>14</w:t>
      </w: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>].</w:t>
      </w:r>
    </w:p>
    <w:p>
      <w:pPr>
        <w:autoSpaceDN w:val="0"/>
        <w:tabs>
          <w:tab w:pos="238" w:val="left"/>
        </w:tabs>
        <w:autoSpaceDE w:val="0"/>
        <w:widowControl/>
        <w:spacing w:line="245" w:lineRule="auto" w:before="402" w:after="0"/>
        <w:ind w:left="0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1.1.2. Filtering techniques in recommender systems </w:t>
      </w:r>
      <w:r>
        <w:br/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Various techniques can be used in the prediction and recommen-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dation phase of a recommender system. Among these approaches,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two well-known methods are content-based filtering and collaborative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filtering.</w:t>
      </w:r>
    </w:p>
    <w:p>
      <w:pPr>
        <w:autoSpaceDN w:val="0"/>
        <w:autoSpaceDE w:val="0"/>
        <w:widowControl/>
        <w:spacing w:line="245" w:lineRule="auto" w:before="0" w:after="0"/>
        <w:ind w:left="0" w:right="74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Content-based filtering recommends items by analyzing the proper-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ties of previously rated items to build individual user profiles [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16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representation of a user’s level of interest in a new item is determined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by measuring the similarity between the user’s profile and the features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of the new item. Thus, the representation of user profiles plays a central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role in content-based filtering.</w:t>
      </w:r>
    </w:p>
    <w:p>
      <w:pPr>
        <w:autoSpaceDN w:val="0"/>
        <w:autoSpaceDE w:val="0"/>
        <w:widowControl/>
        <w:spacing w:line="245" w:lineRule="auto" w:before="0" w:after="0"/>
        <w:ind w:left="0" w:right="74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Vector-Space Model (VSM) is the simplest and most commonly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used representation of user profiles in content-based filtering. The VSM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is a statistical term-based technique widely employed in information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retrieval literature. It represents the contents of documents as vectors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of weighted terms. Similarly, user profiles are also represented as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vectors of weighted terms that reflect the user’s preferences. The weight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assigned to each keyword signifies its importance in representing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document or the user profile.</w:t>
      </w:r>
    </w:p>
    <w:p>
      <w:pPr>
        <w:autoSpaceDN w:val="0"/>
        <w:tabs>
          <w:tab w:pos="238" w:val="left"/>
        </w:tabs>
        <w:autoSpaceDE w:val="0"/>
        <w:widowControl/>
        <w:spacing w:line="245" w:lineRule="auto" w:before="0" w:after="0"/>
        <w:ind w:left="0" w:right="0" w:firstLine="0"/>
        <w:jc w:val="left"/>
      </w:pP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adoption of content-based filtering in a recommender system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presents several advantages [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17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]:</w:t>
      </w:r>
    </w:p>
    <w:p>
      <w:pPr>
        <w:autoSpaceDN w:val="0"/>
        <w:autoSpaceDE w:val="0"/>
        <w:widowControl/>
        <w:spacing w:line="210" w:lineRule="exact" w:before="126" w:after="0"/>
        <w:ind w:left="398" w:right="74" w:hanging="128"/>
        <w:jc w:val="both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User independence: Content-based filtering relies solely on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characteristics of previously rated products to construct user pro-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files. Therefore, it does not require data from other users to make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recommendations for a specific user.</w:t>
      </w:r>
    </w:p>
    <w:p>
      <w:pPr>
        <w:autoSpaceDN w:val="0"/>
        <w:autoSpaceDE w:val="0"/>
        <w:widowControl/>
        <w:spacing w:line="210" w:lineRule="exact" w:before="78" w:after="0"/>
        <w:ind w:left="398" w:right="74" w:hanging="128"/>
        <w:jc w:val="both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Transparency: Recommendations made by content-based filtering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can be easily explained by examining the features that contribute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to the inclusion of an item.</w:t>
      </w:r>
    </w:p>
    <w:p>
      <w:pPr>
        <w:autoSpaceDN w:val="0"/>
        <w:tabs>
          <w:tab w:pos="238" w:val="left"/>
        </w:tabs>
        <w:autoSpaceDE w:val="0"/>
        <w:widowControl/>
        <w:spacing w:line="245" w:lineRule="auto" w:before="42" w:after="0"/>
        <w:ind w:left="0" w:right="0" w:firstLine="0"/>
        <w:jc w:val="left"/>
      </w:pP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However, content-based filtering also has some drawbacks that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should be taken into account:</w:t>
      </w:r>
    </w:p>
    <w:p>
      <w:pPr>
        <w:autoSpaceDN w:val="0"/>
        <w:autoSpaceDE w:val="0"/>
        <w:widowControl/>
        <w:spacing w:line="210" w:lineRule="exact" w:before="120" w:after="0"/>
        <w:ind w:left="398" w:right="74" w:hanging="128"/>
        <w:jc w:val="both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Limited content analysis: Content-based recommender techniques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require sufficient information about the features or descriptions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items to accurately represent them. Therefore, the content of each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item needs to possess a certain level of richness to enable precise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user profile construction and subsequent recommendation.</w:t>
      </w:r>
    </w:p>
    <w:p>
      <w:pPr>
        <w:autoSpaceDN w:val="0"/>
        <w:autoSpaceDE w:val="0"/>
        <w:widowControl/>
        <w:spacing w:line="210" w:lineRule="exact" w:before="78" w:after="0"/>
        <w:ind w:left="398" w:right="74" w:hanging="128"/>
        <w:jc w:val="both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Overspecialization: Since content-based filtering suggests items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similar to those previously rated, it may lack the ability to pro-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vide unexpected or novel recommendations. This phenomenon,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known as the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serendipity problem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, restricts the system’s capacity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for generating highly diverse recommendations.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76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64" w:lineRule="auto" w:before="0" w:after="140"/>
        <w:ind w:left="0" w:right="0" w:firstLine="0"/>
        <w:jc w:val="left"/>
      </w:pPr>
      <w:r>
        <w:rPr>
          <w:w w:val="98.09384712806116"/>
          <w:rFonts w:ascii="Charis SIL" w:hAnsi="Charis SIL" w:eastAsia="Charis SIL"/>
          <w:b w:val="0"/>
          <w:i/>
          <w:color w:val="000000"/>
          <w:sz w:val="13"/>
        </w:rPr>
        <w:t xml:space="preserve">V.M. Romero II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100299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74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Hybrid recommender systems aim to enhance performance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leverage the strengths of different recommendation techniques by com-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bining them [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19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]. Kim et al. [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20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] proposed three hybridization mod-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els: the linear combination model, the sequential combination model,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the mixed combination model. In the linear combination model,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output of multiple recommendation techniques is merged. Each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technique generates a list of recommendations with assigned weights,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which are then combined to produce a final recommendation list [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11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, 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21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]. The sequential combination model first applies content-based fil-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tering to construct user profiles and then utilizes collaborative filtering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to generate recommendations. Content-based filtering can be used to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either enrich the user’s rating data [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22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,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23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 or construct user profiles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considering the content of rated items [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20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The mixed combination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model incorporates both semantic content and user ratings to gen-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erate recommendations. This approach combines the advantages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both techniques in the recommendation process. Apart from these hy-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bridization strategies, other studies have combined multiple techniques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using different approaches. In [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24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], each user has two user profiles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constructed using content-based and collaborative filtering. Similarity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between users is computed by combining the similarity scores using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both user profiles using a weighted hybridization technique. Turnip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et al. [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10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 uses content-based filtering on top of collaborative filtering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to refine the list of recommendations such that only items with a certain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degree of content similarity as the user’s profile are retained. Logesh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et al. [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25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] and Tran et al. [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26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 group users into clusters and employ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user–user collaborative filtering within the clusters to predict missing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ratings in the user–item rating matrix. Item–item collaborative filtering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is then applied using the denser user-rating matrix.</w:t>
      </w:r>
    </w:p>
    <w:p>
      <w:pPr>
        <w:autoSpaceDN w:val="0"/>
        <w:autoSpaceDE w:val="0"/>
        <w:widowControl/>
        <w:spacing w:line="264" w:lineRule="auto" w:before="130" w:after="0"/>
        <w:ind w:left="0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>1.2. Recommender system in opportunistic networks</w:t>
      </w:r>
    </w:p>
    <w:p>
      <w:pPr>
        <w:autoSpaceDN w:val="0"/>
        <w:autoSpaceDE w:val="0"/>
        <w:widowControl/>
        <w:spacing w:line="245" w:lineRule="auto" w:before="130" w:after="0"/>
        <w:ind w:left="0" w:right="74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Recommender systems designed for traditional environments face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challenges when implemented in opportunistic networks, primarily due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to the absence of a central entity. To overcome this limitation,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phases of recommendation need to be modified to accommodate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dynamic nature of the network. Existing literature on recommender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systems in opportunistic networks distributes the responsibility of gen-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erating recommendations across all the participating nodes [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27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–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29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Each node possesses a local recommender system that handles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prediction/recommendation phase for its active user. The information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collection phase is also implemented in a distributed manner where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each node collects the necessary data needed by the local recommender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system and stores it in a local database. Each node also handles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processing of the learning phase of the active user using the available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data in the local database.</w:t>
      </w:r>
    </w:p>
    <w:p>
      <w:pPr>
        <w:autoSpaceDN w:val="0"/>
        <w:autoSpaceDE w:val="0"/>
        <w:widowControl/>
        <w:spacing w:line="245" w:lineRule="auto" w:before="0" w:after="0"/>
        <w:ind w:left="0" w:right="74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This study focuses on designing a hybrid recommender system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specifically for a delay-tolerant digital marketplace environment.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dynamic nature of the network poses challenges in implementing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recommender system, as acquiring the necessary data for user profiling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and generating predictions must be done opportunistically. Addition-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ally, in the absence of a central entity, recommendation processing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needs to be distributed across mobile participating nodes. Despite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limitations in communication network, the recommender system 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expected to generate meaningful recommendations. To address this,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 hybrid approach is employed, combining both content-based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collaborative filtering techniques. This hybridization aims to strike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balance between recommendation accuracy and coverage.</w:t>
      </w:r>
    </w:p>
    <w:p>
      <w:pPr>
        <w:autoSpaceDN w:val="0"/>
        <w:autoSpaceDE w:val="0"/>
        <w:widowControl/>
        <w:spacing w:line="264" w:lineRule="auto" w:before="128" w:after="0"/>
        <w:ind w:left="0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>2. Materials and methods</w:t>
      </w:r>
    </w:p>
    <w:p>
      <w:pPr>
        <w:autoSpaceDN w:val="0"/>
        <w:autoSpaceDE w:val="0"/>
        <w:widowControl/>
        <w:spacing w:line="245" w:lineRule="auto" w:before="130" w:after="0"/>
        <w:ind w:left="0" w:right="74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Mobile devices with the necessary computing resources (e.g., CPU,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bandwidth, and storage) are ubiquitous in the real world. We imagine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these devices to cooperate and collectively form the communication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infrastructure necessary for supporting a delay-tolerant digital market-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place. Using readily available network interfaces, each device defines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 communication buffer. Whenever two devices come within the range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76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64" w:lineRule="auto" w:before="0" w:after="140"/>
        <w:ind w:left="0" w:right="0" w:firstLine="0"/>
        <w:jc w:val="left"/>
      </w:pPr>
      <w:r>
        <w:rPr>
          <w:w w:val="98.09384712806116"/>
          <w:rFonts w:ascii="Charis SIL" w:hAnsi="Charis SIL" w:eastAsia="Charis SIL"/>
          <w:b w:val="0"/>
          <w:i/>
          <w:color w:val="000000"/>
          <w:sz w:val="13"/>
        </w:rPr>
        <w:t xml:space="preserve">V.M. Romero II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100299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74" w:firstLine="0"/>
        <w:jc w:val="righ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for understanding their preferences. Additionally, the system aims to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obtain user profiles of individuals with similar interests to the active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user. These profiles are acquired through opportunistic exchanges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user information with other nodes within the cluster. By sharing user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profiles, the system gathers valuable data that fills the local database,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which subsequently supports the operations of the local recommender.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learning phase of the proposed hybrid recommender system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operates in a distributed manner, with each node independently cal-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culating the interests of its active user. The user’s interest profile 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represented as a vector of keywords extracted from the descriptions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items that the user has previously rated. This process does not rely 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external data sources and can be carried out autonomously by each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individual node.</w:t>
      </w:r>
    </w:p>
    <w:p>
      <w:pPr>
        <w:autoSpaceDN w:val="0"/>
        <w:autoSpaceDE w:val="0"/>
        <w:widowControl/>
        <w:spacing w:line="245" w:lineRule="auto" w:before="0" w:after="0"/>
        <w:ind w:left="0" w:right="74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During the prediction phase of the proposed hybrid recommender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system, each node operates its own local recommender to generate item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predictions for its active user. The local recommender relies on the data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stored in its local database to make accurate rating predictions. This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decentralized approach allows the recommender system to continue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functioning even when nodes are disconnected from other nodes in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network.</w:t>
      </w:r>
    </w:p>
    <w:p>
      <w:pPr>
        <w:autoSpaceDN w:val="0"/>
        <w:tabs>
          <w:tab w:pos="238" w:val="left"/>
        </w:tabs>
        <w:autoSpaceDE w:val="0"/>
        <w:widowControl/>
        <w:spacing w:line="245" w:lineRule="auto" w:before="118" w:after="0"/>
        <w:ind w:left="0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2.1.1. Local database </w:t>
      </w:r>
      <w:r>
        <w:br/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local database of the proposed hybrid recommender system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consists of three buffers, namely: (1)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RatedProductsBuffer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, (2)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Simi-</w:t>
      </w:r>
      <w:r>
        <w:rPr>
          <w:rFonts w:ascii="Charis SIL" w:hAnsi="Charis SIL" w:eastAsia="Charis SIL"/>
          <w:b w:val="0"/>
          <w:i/>
          <w:color w:val="000000"/>
          <w:sz w:val="16"/>
        </w:rPr>
        <w:t>larProfilesBuffer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, and (3)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ProductRecommendationsBuffer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45" w:lineRule="auto" w:before="0" w:after="0"/>
        <w:ind w:left="0" w:right="74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The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RatedProductsBuffer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stores information about the items that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have been previously rated by the target user. For each rated item,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buffer contains the product description and the corresponding rating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provided by the user.</w:t>
      </w:r>
    </w:p>
    <w:p>
      <w:pPr>
        <w:autoSpaceDN w:val="0"/>
        <w:autoSpaceDE w:val="0"/>
        <w:widowControl/>
        <w:spacing w:line="206" w:lineRule="exact" w:before="80" w:after="0"/>
        <w:ind w:left="0" w:right="74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The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SimilarProfilesBuffer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is responsible for storing the user profiles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obtained from opportunistic encounters with other nodes in the net-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work. When a node receives a similar user profile, it compares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similarity between its own user profile and the received profile with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the similarity with its current least similar neighbor (</w:t>
      </w:r>
      <w:r>
        <w:rPr>
          <w:rFonts w:ascii="Charis SIL" w:hAnsi="Charis SIL" w:eastAsia="Charis SIL"/>
          <w:b w:val="0"/>
          <w:i/>
          <w:color w:val="000000"/>
          <w:sz w:val="16"/>
        </w:rPr>
        <w:t>lsn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). Initially, the </w:t>
      </w:r>
      <w:r>
        <w:rPr>
          <w:rFonts w:ascii="Charis SIL" w:hAnsi="Charis SIL" w:eastAsia="Charis SIL"/>
          <w:b w:val="0"/>
          <w:i/>
          <w:color w:val="000000"/>
          <w:sz w:val="16"/>
        </w:rPr>
        <w:t>lsn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is set to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−1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. If the similarity between the node and the received user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profile is higher than the current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lsn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, the least similar user profile in the </w:t>
      </w:r>
      <w:r>
        <w:rPr>
          <w:rFonts w:ascii="Charis SIL" w:hAnsi="Charis SIL" w:eastAsia="Charis SIL"/>
          <w:b w:val="0"/>
          <w:i/>
          <w:color w:val="000000"/>
          <w:sz w:val="16"/>
        </w:rPr>
        <w:t>SimilarProfilesBuffer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is evicted to make space for the new profile. The </w:t>
      </w:r>
      <w:r>
        <w:rPr>
          <w:rFonts w:ascii="Charis SIL" w:hAnsi="Charis SIL" w:eastAsia="Charis SIL"/>
          <w:b w:val="0"/>
          <w:i/>
          <w:color w:val="000000"/>
          <w:sz w:val="16"/>
        </w:rPr>
        <w:t>lsn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is updated to reflect this change and track the similarity of the least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similar profile in the buffer.</w:t>
      </w:r>
    </w:p>
    <w:p>
      <w:pPr>
        <w:autoSpaceDN w:val="0"/>
        <w:autoSpaceDE w:val="0"/>
        <w:widowControl/>
        <w:spacing w:line="245" w:lineRule="auto" w:before="0" w:after="0"/>
        <w:ind w:left="0" w:right="74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The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ProductRecommendationsBuffer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contains the products that will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be recommended to the target user. The specific algorithm for selecting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adding items to this buffer based on predicted ratings is beyond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scope of this study and is recommended for future development.</w:t>
      </w:r>
    </w:p>
    <w:p>
      <w:pPr>
        <w:autoSpaceDN w:val="0"/>
        <w:tabs>
          <w:tab w:pos="238" w:val="left"/>
        </w:tabs>
        <w:autoSpaceDE w:val="0"/>
        <w:widowControl/>
        <w:spacing w:line="206" w:lineRule="exact" w:before="196" w:after="28"/>
        <w:ind w:left="0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2.1.2. Interest extraction </w:t>
      </w:r>
      <w:r>
        <w:br/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Interest extraction in the proposed hybrid recommender system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involves two phases: item profile creation and user profile creation.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Each item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𝑖</w:t>
      </w:r>
      <w:r>
        <w:rPr>
          <w:rFonts w:ascii="STIXMath" w:hAnsi="STIXMath" w:eastAsia="STIXMath"/>
          <w:b w:val="0"/>
          <w:i/>
          <w:color w:val="000000"/>
          <w:sz w:val="12"/>
        </w:rPr>
        <w:t>𝑗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has an item profile which is a vector of keywords extracted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from its item description. However, item descriptions often contain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unstructured text, including characters or texts that are irrelevant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introduce noise to the item profile creation process. To address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this, a text pre-processing procedure is applied to sanitize the item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descriptions. The pre-processing procedure is illustrated in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 xml:space="preserve"> Fig. 3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. </w:t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Using the sanitized item descriptions, item profiles are created using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the algorithm used in [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32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]. Item profile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𝑣</w:t>
      </w:r>
      <w:r>
        <w:rPr>
          <w:rFonts w:ascii="STIXMath" w:hAnsi="STIXMath" w:eastAsia="STIXMath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 w:val="0"/>
          <w:i/>
          <w:color w:val="000000"/>
          <w:sz w:val="16"/>
        </w:rPr>
        <w:t>𝑖</w:t>
      </w:r>
      <w:r>
        <w:rPr>
          <w:rFonts w:ascii="STIXMath" w:hAnsi="STIXMath" w:eastAsia="STIXMath"/>
          <w:b w:val="0"/>
          <w:i/>
          <w:color w:val="000000"/>
          <w:sz w:val="12"/>
        </w:rPr>
        <w:t>𝑗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is denoted as,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7"/>
        <w:gridCol w:w="5217"/>
      </w:tblGrid>
      <w:tr>
        <w:trPr>
          <w:trHeight w:hRule="exact" w:val="364"/>
        </w:trPr>
        <w:tc>
          <w:tcPr>
            <w:tcW w:type="dxa" w:w="40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8" w:after="0"/>
              <w:ind w:left="0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𝑣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 = ((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𝑘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1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 𝑤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𝑘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1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))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𝑘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2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 𝑤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𝑘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2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))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𝑘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𝑚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 𝑤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𝑘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𝑚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)))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26" w:after="0"/>
              <w:ind w:left="0" w:right="26" w:firstLine="0"/>
              <w:jc w:val="righ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(1)</w:t>
            </w:r>
          </w:p>
        </w:tc>
      </w:tr>
      <w:tr>
        <w:trPr>
          <w:trHeight w:hRule="exact" w:val="2050"/>
        </w:trPr>
        <w:tc>
          <w:tcPr>
            <w:tcW w:type="dxa" w:w="50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0" w:right="0" w:firstLine="0"/>
              <w:jc w:val="center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𝑘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𝑙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𝑗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corresponds to a keyword,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𝑤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𝑘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𝑙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 denotes the weight of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𝑘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𝑙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𝑗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,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0" w:right="0" w:firstLine="0"/>
              <w:jc w:val="center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𝑚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 denotes the number of keywords in the description. The weight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𝑤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𝑘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𝑙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 is computed using the following formula,</w:t>
            </w:r>
          </w:p>
          <w:p>
            <w:pPr>
              <w:autoSpaceDN w:val="0"/>
              <w:autoSpaceDE w:val="0"/>
              <w:widowControl/>
              <w:spacing w:line="240" w:lineRule="exact" w:before="274" w:after="0"/>
              <w:ind w:left="0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𝑤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𝑘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𝑙</w:t>
            </w:r>
          </w:p>
          <w:p>
            <w:pPr>
              <w:autoSpaceDN w:val="0"/>
              <w:tabs>
                <w:tab w:pos="188" w:val="left"/>
                <w:tab w:pos="338" w:val="left"/>
              </w:tabs>
              <w:autoSpaceDE w:val="0"/>
              <w:widowControl/>
              <w:spacing w:line="228" w:lineRule="exact" w:before="58" w:after="0"/>
              <w:ind w:left="0" w:right="4176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𝑛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𝑘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𝑙 </w:t>
            </w:r>
            <w:r>
              <w:br/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 xml:space="preserve">𝑖𝑗 </w:t>
            </w:r>
            <w:r>
              <w:br/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=</w:t>
            </w:r>
          </w:p>
          <w:p>
            <w:pPr>
              <w:autoSpaceDN w:val="0"/>
              <w:autoSpaceDE w:val="0"/>
              <w:widowControl/>
              <w:spacing w:line="632" w:lineRule="exact" w:before="0" w:after="0"/>
              <w:ind w:left="516" w:right="0" w:firstLine="0"/>
              <w:jc w:val="left"/>
            </w:pP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𝑚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𝑞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=1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(1 +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𝑙𝑜𝑔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𝑛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𝑘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𝑙</w:t>
            </w:r>
          </w:p>
          <w:p>
            <w:pPr>
              <w:autoSpaceDN w:val="0"/>
              <w:tabs>
                <w:tab w:pos="746" w:val="left"/>
                <w:tab w:pos="1490" w:val="left"/>
              </w:tabs>
              <w:autoSpaceDE w:val="0"/>
              <w:widowControl/>
              <w:spacing w:line="488" w:lineRule="exact" w:before="0" w:after="0"/>
              <w:ind w:left="716" w:right="864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 corresponds to the number of occurrences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𝑘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𝑙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1 +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𝑙𝑜𝑔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𝑛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𝑘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𝑙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))</w:t>
            </w:r>
          </w:p>
          <w:p>
            <w:pPr>
              <w:autoSpaceDN w:val="0"/>
              <w:autoSpaceDE w:val="0"/>
              <w:widowControl/>
              <w:spacing w:line="300" w:lineRule="exact" w:before="0" w:after="0"/>
              <w:ind w:left="0" w:right="3118" w:firstLine="0"/>
              <w:jc w:val="righ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)))</w:t>
            </w:r>
          </w:p>
          <w:p>
            <w:pPr>
              <w:autoSpaceDN w:val="0"/>
              <w:autoSpaceDE w:val="0"/>
              <w:widowControl/>
              <w:spacing w:line="416" w:lineRule="exact" w:before="0" w:after="0"/>
              <w:ind w:left="4812" w:right="0" w:hanging="68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𝑗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has in the </w:t>
            </w:r>
            <w:r>
              <w:br/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(2)</w:t>
            </w:r>
          </w:p>
          <w:p>
            <w:pPr>
              <w:autoSpaceDN w:val="0"/>
              <w:autoSpaceDE w:val="0"/>
              <w:widowControl/>
              <w:spacing w:line="264" w:lineRule="auto" w:before="0" w:after="0"/>
              <w:ind w:left="0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description.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76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40" w:val="left"/>
        </w:tabs>
        <w:autoSpaceDE w:val="0"/>
        <w:widowControl/>
        <w:spacing w:line="264" w:lineRule="auto" w:before="0" w:after="140"/>
        <w:ind w:left="8" w:right="0" w:firstLine="0"/>
        <w:jc w:val="left"/>
      </w:pPr>
      <w:r>
        <w:rPr>
          <w:w w:val="98.09384712806116"/>
          <w:rFonts w:ascii="Charis SIL" w:hAnsi="Charis SIL" w:eastAsia="Charis SIL"/>
          <w:b w:val="0"/>
          <w:i/>
          <w:color w:val="000000"/>
          <w:sz w:val="13"/>
        </w:rPr>
        <w:t xml:space="preserve">V.M. Romero II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100299</w:t>
      </w:r>
    </w:p>
    <w:p>
      <w:pPr>
        <w:sectPr>
          <w:pgSz w:w="11906" w:h="15874"/>
          <w:pgMar w:top="330" w:right="720" w:bottom="288" w:left="744" w:header="720" w:footer="720" w:gutter="0"/>
          <w:cols w:space="720" w:num="1" w:equalWidth="0"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406" w:val="left"/>
        </w:tabs>
        <w:autoSpaceDE w:val="0"/>
        <w:widowControl/>
        <w:spacing w:line="210" w:lineRule="exact" w:before="78" w:after="0"/>
        <w:ind w:left="278" w:right="0" w:firstLine="0"/>
        <w:jc w:val="left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pTime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— the time when the user profile was last updated locally </w:t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by the cluster member.</w:t>
      </w:r>
    </w:p>
    <w:p>
      <w:pPr>
        <w:autoSpaceDN w:val="0"/>
        <w:autoSpaceDE w:val="0"/>
        <w:widowControl/>
        <w:spacing w:line="245" w:lineRule="auto" w:before="44" w:after="0"/>
        <w:ind w:left="8" w:right="78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Each cluster member actively communicates with its respective clus-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ter head by sending a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BeaconMessage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to convey its current state. This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message serves as a means of informing the cluster head of its presence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and providing updates on its status. Upon receiving a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BeaconMessag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from a cluster member, the cluster head compares the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pTime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value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in the message with the corresponding record in the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MemberInfor-</w:t>
      </w:r>
      <w:r>
        <w:rPr>
          <w:rFonts w:ascii="Charis SIL" w:hAnsi="Charis SIL" w:eastAsia="Charis SIL"/>
          <w:b w:val="0"/>
          <w:i/>
          <w:color w:val="000000"/>
          <w:sz w:val="16"/>
        </w:rPr>
        <w:t>mationTable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. If the two values are not equal, indicating a change 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the member’s profile, the cluster head sends a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ProfileRequestMessage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to request the updated profile information from the cluster member.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Subsequently, the cluster member responds by sending a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ProfileUp-</w:t>
      </w:r>
      <w:r>
        <w:rPr>
          <w:rFonts w:ascii="Charis SIL" w:hAnsi="Charis SIL" w:eastAsia="Charis SIL"/>
          <w:b w:val="0"/>
          <w:i/>
          <w:color w:val="000000"/>
          <w:sz w:val="16"/>
        </w:rPr>
        <w:t>dateMessage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to the cluster head, ensuring that the profile information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remains up to date within the cluster.</w:t>
      </w:r>
    </w:p>
    <w:p>
      <w:pPr>
        <w:autoSpaceDN w:val="0"/>
        <w:autoSpaceDE w:val="0"/>
        <w:widowControl/>
        <w:spacing w:line="245" w:lineRule="auto" w:before="0" w:after="0"/>
        <w:ind w:left="8" w:right="78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Upon receiving a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ProfileUpdateMessage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from a cluster member,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cluster head initiates an update procedure following the steps outlined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in Algorithm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 xml:space="preserve"> 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. To optimize the update process and reduce the number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of messages to be sent, a delayed broadcast mechanism is employed.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When the cluster head receives a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ProfileUpdateMessage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, it starts an up-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date timer. If subsequent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ProfileUpdateMessages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are received before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timer expires, the timeout period is reset. However, to prevent excessive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waiting times, a maximum waiting time, denoted as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maxWaitTime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is introduced. If the update timer reaches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maxWaitTime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, the update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timer is no longer restarted, even if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ProfileUpdateMessages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are further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received. This ensures that the system does not experience prolonged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delays.</w:t>
      </w:r>
    </w:p>
    <w:p>
      <w:pPr>
        <w:autoSpaceDN w:val="0"/>
        <w:autoSpaceDE w:val="0"/>
        <w:widowControl/>
        <w:spacing w:line="264" w:lineRule="auto" w:before="216" w:after="0"/>
        <w:ind w:left="8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>Algorithm 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Update Procedure of Cluster Head</w:t>
      </w:r>
    </w:p>
    <w:p>
      <w:pPr>
        <w:autoSpaceDN w:val="0"/>
        <w:tabs>
          <w:tab w:pos="326" w:val="left"/>
          <w:tab w:pos="486" w:val="left"/>
        </w:tabs>
        <w:autoSpaceDE w:val="0"/>
        <w:widowControl/>
        <w:spacing w:line="245" w:lineRule="auto" w:before="0" w:after="6"/>
        <w:ind w:left="168" w:right="864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>for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each received user profile from a cluster member</w:t>
      </w:r>
      <w:r>
        <w:rPr>
          <w:rFonts w:ascii="Charis SIL" w:hAnsi="Charis SIL" w:eastAsia="Charis SIL"/>
          <w:b/>
          <w:i w:val="0"/>
          <w:color w:val="000000"/>
          <w:sz w:val="16"/>
        </w:rPr>
        <w:t xml:space="preserve"> do </w:t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addr = cluster member address </w:t>
      </w:r>
      <w:r>
        <w:br/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newProfiles.add(addr, user profile) </w:t>
      </w:r>
      <w:r>
        <w:br/>
      </w:r>
      <w:r>
        <w:tab/>
      </w:r>
      <w:r>
        <w:rPr>
          <w:rFonts w:ascii="Charis SIL" w:hAnsi="Charis SIL" w:eastAsia="Charis SIL"/>
          <w:b/>
          <w:i w:val="0"/>
          <w:color w:val="000000"/>
          <w:sz w:val="16"/>
        </w:rPr>
        <w:t>if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updateTimer is running</w:t>
      </w:r>
      <w:r>
        <w:rPr>
          <w:rFonts w:ascii="Charis SIL" w:hAnsi="Charis SIL" w:eastAsia="Charis SIL"/>
          <w:b/>
          <w:i w:val="0"/>
          <w:color w:val="000000"/>
          <w:sz w:val="16"/>
        </w:rPr>
        <w:t xml:space="preserve"> then </w:t>
      </w:r>
      <w:r>
        <w:br/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updateTimer.reset(); </w:t>
      </w:r>
      <w:r>
        <w:br/>
      </w:r>
      <w:r>
        <w:tab/>
      </w:r>
      <w:r>
        <w:rPr>
          <w:rFonts w:ascii="Charis SIL" w:hAnsi="Charis SIL" w:eastAsia="Charis SIL"/>
          <w:b/>
          <w:i w:val="0"/>
          <w:color w:val="000000"/>
          <w:sz w:val="16"/>
        </w:rPr>
        <w:t xml:space="preserve">end if </w:t>
      </w:r>
      <w:r>
        <w:br/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updateTimer.start() </w:t>
      </w:r>
      <w:r>
        <w:br/>
      </w:r>
      <w:r>
        <w:rPr>
          <w:rFonts w:ascii="Charis SIL" w:hAnsi="Charis SIL" w:eastAsia="Charis SIL"/>
          <w:b/>
          <w:i w:val="0"/>
          <w:color w:val="000000"/>
          <w:sz w:val="16"/>
        </w:rPr>
        <w:t xml:space="preserve">end for </w:t>
      </w:r>
      <w:r>
        <w:br/>
      </w:r>
      <w:r>
        <w:rPr>
          <w:rFonts w:ascii="Charis SIL" w:hAnsi="Charis SIL" w:eastAsia="Charis SIL"/>
          <w:b/>
          <w:i w:val="0"/>
          <w:color w:val="000000"/>
          <w:sz w:val="16"/>
        </w:rPr>
        <w:t>for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each elapsed updateTimer</w:t>
      </w:r>
      <w:r>
        <w:rPr>
          <w:rFonts w:ascii="Charis SIL" w:hAnsi="Charis SIL" w:eastAsia="Charis SIL"/>
          <w:b/>
          <w:i w:val="0"/>
          <w:color w:val="000000"/>
          <w:sz w:val="16"/>
        </w:rPr>
        <w:t xml:space="preserve"> do </w:t>
      </w:r>
      <w:r>
        <w:br/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updateUserSimilarityMatrix(newProfiles); </w:t>
      </w:r>
      <w:r>
        <w:br/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membersSimilarProfiles = gatherSimilarProfiles(); </w:t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sendSimilarProfiles(membersSimilarProfiles) </w:t>
      </w:r>
      <w:r>
        <w:br/>
      </w:r>
      <w:r>
        <w:rPr>
          <w:rFonts w:ascii="Charis SIL" w:hAnsi="Charis SIL" w:eastAsia="Charis SIL"/>
          <w:b/>
          <w:i w:val="0"/>
          <w:color w:val="000000"/>
          <w:sz w:val="16"/>
        </w:rPr>
        <w:t>end for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.9999999999999147" w:type="dxa"/>
      </w:tblPr>
      <w:tblGrid>
        <w:gridCol w:w="10442"/>
      </w:tblGrid>
      <w:tr>
        <w:trPr>
          <w:trHeight w:hRule="exact" w:val="4884"/>
        </w:trPr>
        <w:tc>
          <w:tcPr>
            <w:tcW w:type="dxa" w:w="503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10" w:after="0"/>
              <w:ind w:left="4" w:right="4" w:firstLine="238"/>
              <w:jc w:val="both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After the update timer expires, the cluster head proceeds to update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the user–user similarity matrix, which contains the similarity values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between each cluster member. User profiles received during the update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procedure are incorporated into the matrix. For each new profile, the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cluster head computes the similarity with existing user profiles and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updates the corresponding entries in the matrix. If a cluster member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that provided a new profile already has an entry in the matrix, its entry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is updated accordingly.</w:t>
            </w:r>
          </w:p>
          <w:p>
            <w:pPr>
              <w:autoSpaceDN w:val="0"/>
              <w:autoSpaceDE w:val="0"/>
              <w:widowControl/>
              <w:spacing w:line="202" w:lineRule="exact" w:before="118" w:after="0"/>
              <w:ind w:left="4" w:right="0" w:firstLine="238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User–user similarity matrix is illustrated in</w:t>
            </w:r>
            <w:r>
              <w:rPr>
                <w:rFonts w:ascii="Charis SIL" w:hAnsi="Charis SIL" w:eastAsia="Charis SIL"/>
                <w:b w:val="0"/>
                <w:i w:val="0"/>
                <w:color w:val="007FAC"/>
                <w:sz w:val="16"/>
              </w:rPr>
              <w:t xml:space="preserve"> Table 1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. Each cell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𝑠𝑖𝑚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𝑣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,𝑣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 xml:space="preserve">𝑗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corresponds to the similarity between cluster members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𝑣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 and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𝑣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𝑗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. Simi-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larity is calculated using cosine similarity, which determines similarity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based on the angle between two vectors. The cosine-based similarity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measure is computed as follows:</w:t>
            </w:r>
          </w:p>
          <w:p>
            <w:pPr>
              <w:autoSpaceDN w:val="0"/>
              <w:autoSpaceDE w:val="0"/>
              <w:widowControl/>
              <w:spacing w:line="244" w:lineRule="exact" w:before="244" w:after="0"/>
              <w:ind w:left="4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𝑠𝑖𝑚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𝑣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 𝑣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 =</w:t>
            </w:r>
          </w:p>
          <w:p>
            <w:pPr>
              <w:autoSpaceDN w:val="0"/>
              <w:autoSpaceDE w:val="0"/>
              <w:widowControl/>
              <w:spacing w:line="328" w:lineRule="exact" w:before="0" w:after="0"/>
              <w:ind w:left="4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𝑚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′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is the union of keywords from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𝑣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 and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𝑣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, and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𝑤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𝑘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𝑎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√∑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𝑚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′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𝑎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=1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𝑤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𝑘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𝑎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𝑚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′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𝑎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=1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𝑤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𝑘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𝑎</w:t>
            </w:r>
          </w:p>
          <w:p>
            <w:pPr>
              <w:autoSpaceDN w:val="0"/>
              <w:autoSpaceDE w:val="0"/>
              <w:widowControl/>
              <w:spacing w:line="450" w:lineRule="exact" w:before="0" w:after="0"/>
              <w:ind w:left="1728" w:right="1872" w:firstLine="0"/>
              <w:jc w:val="center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𝑣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))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𝑣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 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𝑤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𝑘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𝑎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√∑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𝑚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′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𝑎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=1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𝑤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𝑘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𝑎 </w:t>
            </w:r>
            <w:r>
              <w:br/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𝑣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</w:p>
          <w:p>
            <w:pPr>
              <w:autoSpaceDN w:val="0"/>
              <w:autoSpaceDE w:val="0"/>
              <w:widowControl/>
              <w:spacing w:line="284" w:lineRule="exact" w:before="0" w:after="0"/>
              <w:ind w:left="0" w:right="1640" w:firstLine="0"/>
              <w:jc w:val="righ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𝑣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))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2</w:t>
            </w:r>
          </w:p>
          <w:p>
            <w:pPr>
              <w:autoSpaceDN w:val="0"/>
              <w:autoSpaceDE w:val="0"/>
              <w:widowControl/>
              <w:spacing w:line="434" w:lineRule="exact" w:before="0" w:after="0"/>
              <w:ind w:left="4816" w:right="0" w:hanging="308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𝑣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 and </w:t>
            </w:r>
            <w:r>
              <w:br/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(6)</w:t>
            </w:r>
          </w:p>
          <w:p>
            <w:pPr>
              <w:autoSpaceDN w:val="0"/>
              <w:autoSpaceDE w:val="0"/>
              <w:widowControl/>
              <w:spacing w:line="276" w:lineRule="exact" w:before="0" w:after="0"/>
              <w:ind w:left="4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𝑤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𝑘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𝑎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𝑣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 corresponds to the weights of the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𝑎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th keyword of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𝑚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′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 in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𝑣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and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𝑣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, respectively.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4" w:right="0" w:firstLine="238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Once the matrix is updated, the cluster head proceeds to aggregate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similar profiles for each member within its cluster. For every cluster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30" w:right="720" w:bottom="288" w:left="744" w:header="720" w:footer="720" w:gutter="0"/>
          <w:cols w:space="720" w:num="2" w:equalWidth="0"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72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6" w:h="15874"/>
          <w:pgMar w:top="330" w:right="720" w:bottom="288" w:left="744" w:header="720" w:footer="720" w:gutter="0"/>
          <w:cols w:space="720" w:num="2" w:equalWidth="0"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6" w:val="left"/>
        </w:tabs>
        <w:autoSpaceDE w:val="0"/>
        <w:widowControl/>
        <w:spacing w:line="264" w:lineRule="auto" w:before="0" w:after="154"/>
        <w:ind w:left="4" w:right="0" w:firstLine="0"/>
        <w:jc w:val="left"/>
      </w:pPr>
      <w:r>
        <w:rPr>
          <w:w w:val="98.09384712806116"/>
          <w:rFonts w:ascii="Charis SIL" w:hAnsi="Charis SIL" w:eastAsia="Charis SIL"/>
          <w:b w:val="0"/>
          <w:i/>
          <w:color w:val="000000"/>
          <w:sz w:val="13"/>
        </w:rPr>
        <w:t xml:space="preserve">V.M. Romero II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100299</w:t>
      </w:r>
    </w:p>
    <w:p>
      <w:pPr>
        <w:sectPr>
          <w:pgSz w:w="11906" w:h="15874"/>
          <w:pgMar w:top="330" w:right="720" w:bottom="288" w:left="748" w:header="720" w:footer="720" w:gutter="0"/>
          <w:cols w:space="720" w:num="1" w:equalWidth="0">
            <w:col w:w="10438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64" w:lineRule="auto" w:before="0" w:after="0"/>
        <w:ind w:left="4" w:right="0" w:firstLine="0"/>
        <w:jc w:val="left"/>
      </w:pPr>
      <w:r>
        <w:rPr>
          <w:w w:val="98.09384712806116"/>
          <w:rFonts w:ascii="Charis SIL" w:hAnsi="Charis SIL" w:eastAsia="Charis SIL"/>
          <w:b/>
          <w:i w:val="0"/>
          <w:color w:val="000000"/>
          <w:sz w:val="13"/>
        </w:rPr>
        <w:t>Table 3</w:t>
      </w:r>
    </w:p>
    <w:p>
      <w:pPr>
        <w:autoSpaceDN w:val="0"/>
        <w:autoSpaceDE w:val="0"/>
        <w:widowControl/>
        <w:spacing w:line="264" w:lineRule="auto" w:before="0" w:after="14"/>
        <w:ind w:left="4" w:right="0" w:firstLine="0"/>
        <w:jc w:val="left"/>
      </w:pP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>User–item Rating Matrix.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40"/>
        <w:gridCol w:w="1740"/>
        <w:gridCol w:w="1740"/>
        <w:gridCol w:w="1740"/>
        <w:gridCol w:w="1740"/>
        <w:gridCol w:w="1740"/>
      </w:tblGrid>
      <w:tr>
        <w:trPr>
          <w:trHeight w:hRule="exact" w:val="224"/>
        </w:trPr>
        <w:tc>
          <w:tcPr>
            <w:tcW w:type="dxa" w:w="67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4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528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1</w:t>
            </w:r>
          </w:p>
        </w:tc>
        <w:tc>
          <w:tcPr>
            <w:tcW w:type="dxa" w:w="96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534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96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538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3</w:t>
            </w:r>
          </w:p>
        </w:tc>
        <w:tc>
          <w:tcPr>
            <w:tcW w:type="dxa" w:w="72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26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⋯</w:t>
            </w:r>
          </w:p>
        </w:tc>
        <w:tc>
          <w:tcPr>
            <w:tcW w:type="dxa" w:w="77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𝑄</w:t>
            </w:r>
          </w:p>
        </w:tc>
      </w:tr>
      <w:tr>
        <w:trPr>
          <w:trHeight w:hRule="exact" w:val="196"/>
        </w:trPr>
        <w:tc>
          <w:tcPr>
            <w:tcW w:type="dxa" w:w="672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6" w:after="0"/>
              <w:ind w:left="94" w:right="0" w:firstLine="0"/>
              <w:jc w:val="lef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𝑢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𝑡𝑎𝑟𝑔𝑒𝑡</w:t>
            </w:r>
          </w:p>
        </w:tc>
        <w:tc>
          <w:tcPr>
            <w:tcW w:type="dxa" w:w="940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𝑢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𝑡𝑎𝑟𝑔𝑒𝑡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1</w:t>
            </w:r>
          </w:p>
          <w:p>
            <w:pPr>
              <w:autoSpaceDN w:val="0"/>
              <w:autoSpaceDE w:val="0"/>
              <w:widowControl/>
              <w:spacing w:line="180" w:lineRule="exact" w:before="0" w:after="0"/>
              <w:ind w:left="0" w:right="416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𝑢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1</w:t>
            </w:r>
          </w:p>
        </w:tc>
        <w:tc>
          <w:tcPr>
            <w:tcW w:type="dxa" w:w="960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𝑢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𝑡𝑎𝑟𝑔𝑒𝑡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2</w:t>
            </w:r>
          </w:p>
          <w:p>
            <w:pPr>
              <w:autoSpaceDN w:val="0"/>
              <w:autoSpaceDE w:val="0"/>
              <w:widowControl/>
              <w:spacing w:line="180" w:lineRule="exact" w:before="0" w:after="0"/>
              <w:ind w:left="0" w:right="420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𝑢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2</w:t>
            </w:r>
          </w:p>
        </w:tc>
        <w:tc>
          <w:tcPr>
            <w:tcW w:type="dxa" w:w="960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𝑢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𝑡𝑎𝑟𝑔𝑒𝑡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3</w:t>
            </w:r>
          </w:p>
          <w:p>
            <w:pPr>
              <w:autoSpaceDN w:val="0"/>
              <w:autoSpaceDE w:val="0"/>
              <w:widowControl/>
              <w:spacing w:line="180" w:lineRule="exact" w:before="0" w:after="0"/>
              <w:ind w:left="0" w:right="426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𝑢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3</w:t>
            </w:r>
          </w:p>
        </w:tc>
        <w:tc>
          <w:tcPr>
            <w:tcW w:type="dxa" w:w="72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46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⋯</w:t>
            </w:r>
          </w:p>
        </w:tc>
        <w:tc>
          <w:tcPr>
            <w:tcW w:type="dxa" w:w="778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116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𝑢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𝑡𝑎𝑟𝑔𝑒𝑡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𝑄</w:t>
            </w:r>
          </w:p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𝑢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𝑄</w:t>
            </w:r>
          </w:p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𝑢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3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𝑄</w:t>
            </w:r>
          </w:p>
        </w:tc>
      </w:tr>
      <w:tr>
        <w:trPr>
          <w:trHeight w:hRule="exact" w:val="44"/>
        </w:trPr>
        <w:tc>
          <w:tcPr>
            <w:tcW w:type="dxa" w:w="1740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740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740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740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52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⋯</w:t>
            </w:r>
          </w:p>
        </w:tc>
        <w:tc>
          <w:tcPr>
            <w:tcW w:type="dxa" w:w="1740"/>
            <w:vMerge/>
            <w:tcBorders>
              <w:top w:sz="3.184000015258789" w:val="single" w:color="#000000"/>
            </w:tcBorders>
          </w:tcPr>
          <w:p/>
        </w:tc>
      </w:tr>
      <w:tr>
        <w:trPr>
          <w:trHeight w:hRule="exact" w:val="193"/>
        </w:trPr>
        <w:tc>
          <w:tcPr>
            <w:tcW w:type="dxa" w:w="6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0" w:after="0"/>
              <w:ind w:left="94" w:right="0" w:firstLine="0"/>
              <w:jc w:val="lef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1740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740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740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740"/>
            <w:vMerge/>
            <w:tcBorders/>
          </w:tcPr>
          <w:p/>
        </w:tc>
        <w:tc>
          <w:tcPr>
            <w:tcW w:type="dxa" w:w="1740"/>
            <w:vMerge/>
            <w:tcBorders>
              <w:top w:sz="3.184000015258789" w:val="single" w:color="#000000"/>
            </w:tcBorders>
          </w:tcPr>
          <w:p/>
        </w:tc>
      </w:tr>
      <w:tr>
        <w:trPr>
          <w:trHeight w:hRule="exact" w:val="202"/>
        </w:trPr>
        <w:tc>
          <w:tcPr>
            <w:tcW w:type="dxa" w:w="6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2" w:after="0"/>
              <w:ind w:left="94" w:right="0" w:firstLine="0"/>
              <w:jc w:val="lef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3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416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𝑢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3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1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420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𝑢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3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2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426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𝑢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3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3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10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⋯</w:t>
            </w:r>
          </w:p>
        </w:tc>
        <w:tc>
          <w:tcPr>
            <w:tcW w:type="dxa" w:w="1740"/>
            <w:vMerge/>
            <w:tcBorders>
              <w:top w:sz="3.184000015258789" w:val="single" w:color="#000000"/>
            </w:tcBorders>
          </w:tcPr>
          <w:p/>
        </w:tc>
      </w:tr>
      <w:tr>
        <w:trPr>
          <w:trHeight w:hRule="exact" w:val="140"/>
        </w:trPr>
        <w:tc>
          <w:tcPr>
            <w:tcW w:type="dxa" w:w="6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⋯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516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⋯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520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⋯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526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⋯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⋯</w:t>
            </w:r>
          </w:p>
        </w:tc>
        <w:tc>
          <w:tcPr>
            <w:tcW w:type="dxa" w:w="7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⋯</w:t>
            </w:r>
          </w:p>
        </w:tc>
      </w:tr>
      <w:tr>
        <w:trPr>
          <w:trHeight w:hRule="exact" w:val="250"/>
        </w:trPr>
        <w:tc>
          <w:tcPr>
            <w:tcW w:type="dxa" w:w="67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94" w:right="0" w:firstLine="0"/>
              <w:jc w:val="lef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𝑢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𝑃</w:t>
            </w:r>
          </w:p>
        </w:tc>
        <w:tc>
          <w:tcPr>
            <w:tcW w:type="dxa" w:w="94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416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𝑢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4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1</w:t>
            </w:r>
          </w:p>
        </w:tc>
        <w:tc>
          <w:tcPr>
            <w:tcW w:type="dxa" w:w="96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420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𝑢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4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2</w:t>
            </w:r>
          </w:p>
        </w:tc>
        <w:tc>
          <w:tcPr>
            <w:tcW w:type="dxa" w:w="96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426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𝑢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4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3</w:t>
            </w:r>
          </w:p>
        </w:tc>
        <w:tc>
          <w:tcPr>
            <w:tcW w:type="dxa" w:w="72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36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⋯</w:t>
            </w:r>
          </w:p>
        </w:tc>
        <w:tc>
          <w:tcPr>
            <w:tcW w:type="dxa" w:w="77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𝑢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4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𝑄</w:t>
            </w:r>
          </w:p>
        </w:tc>
      </w:tr>
    </w:tbl>
    <w:p>
      <w:pPr>
        <w:autoSpaceDN w:val="0"/>
        <w:autoSpaceDE w:val="0"/>
        <w:widowControl/>
        <w:spacing w:line="264" w:lineRule="auto" w:before="472" w:after="0"/>
        <w:ind w:left="4" w:right="0" w:firstLine="0"/>
        <w:jc w:val="left"/>
      </w:pPr>
      <w:r>
        <w:rPr>
          <w:w w:val="98.09384712806116"/>
          <w:rFonts w:ascii="Charis SIL" w:hAnsi="Charis SIL" w:eastAsia="Charis SIL"/>
          <w:b/>
          <w:i w:val="0"/>
          <w:color w:val="000000"/>
          <w:sz w:val="13"/>
        </w:rPr>
        <w:t>Table 4</w:t>
      </w:r>
    </w:p>
    <w:p>
      <w:pPr>
        <w:autoSpaceDN w:val="0"/>
        <w:autoSpaceDE w:val="0"/>
        <w:widowControl/>
        <w:spacing w:line="264" w:lineRule="auto" w:before="0" w:after="14"/>
        <w:ind w:left="4" w:right="0" w:firstLine="0"/>
        <w:jc w:val="left"/>
      </w:pP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>An example of a user–item rating matrix.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40"/>
        <w:gridCol w:w="1740"/>
        <w:gridCol w:w="1740"/>
        <w:gridCol w:w="1740"/>
        <w:gridCol w:w="1740"/>
        <w:gridCol w:w="1740"/>
      </w:tblGrid>
      <w:tr>
        <w:trPr>
          <w:trHeight w:hRule="exact" w:val="216"/>
        </w:trPr>
        <w:tc>
          <w:tcPr>
            <w:tcW w:type="dxa" w:w="77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1</w:t>
            </w:r>
          </w:p>
        </w:tc>
        <w:tc>
          <w:tcPr>
            <w:tcW w:type="dxa" w:w="92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9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3</w:t>
            </w:r>
          </w:p>
        </w:tc>
        <w:tc>
          <w:tcPr>
            <w:tcW w:type="dxa" w:w="92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4</w:t>
            </w:r>
          </w:p>
        </w:tc>
        <w:tc>
          <w:tcPr>
            <w:tcW w:type="dxa" w:w="61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106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5</w:t>
            </w:r>
          </w:p>
        </w:tc>
      </w:tr>
      <w:tr>
        <w:trPr>
          <w:trHeight w:hRule="exact" w:val="215"/>
        </w:trPr>
        <w:tc>
          <w:tcPr>
            <w:tcW w:type="dxa" w:w="77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2" w:after="0"/>
              <w:ind w:left="94" w:right="0" w:firstLine="0"/>
              <w:jc w:val="lef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𝑢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𝑡𝑎𝑟𝑔𝑒𝑡</w:t>
            </w:r>
          </w:p>
        </w:tc>
        <w:tc>
          <w:tcPr>
            <w:tcW w:type="dxa" w:w="900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288" w:right="288" w:firstLine="0"/>
              <w:jc w:val="center"/>
            </w:pP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920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0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?</w:t>
            </w:r>
          </w:p>
          <w:p>
            <w:pPr>
              <w:autoSpaceDN w:val="0"/>
              <w:autoSpaceDE w:val="0"/>
              <w:widowControl/>
              <w:spacing w:line="264" w:lineRule="auto" w:before="0" w:after="0"/>
              <w:ind w:left="0" w:right="0" w:firstLine="0"/>
              <w:jc w:val="center"/>
            </w:pP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900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408" w:right="420" w:firstLine="0"/>
              <w:jc w:val="both"/>
            </w:pP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4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92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0" w:after="0"/>
              <w:ind w:left="0" w:right="0" w:firstLine="0"/>
              <w:jc w:val="center"/>
            </w:pP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618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30" w:after="0"/>
              <w:ind w:left="288" w:right="140" w:firstLine="0"/>
              <w:jc w:val="right"/>
            </w:pP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4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4</w:t>
            </w:r>
          </w:p>
        </w:tc>
      </w:tr>
      <w:tr>
        <w:trPr>
          <w:trHeight w:hRule="exact" w:val="171"/>
        </w:trPr>
        <w:tc>
          <w:tcPr>
            <w:tcW w:type="dxa" w:w="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" w:after="0"/>
              <w:ind w:left="94" w:right="0" w:firstLine="0"/>
              <w:jc w:val="lef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1740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740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740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92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20" w:after="0"/>
              <w:ind w:left="418" w:right="430" w:firstLine="0"/>
              <w:jc w:val="both"/>
            </w:pP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4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4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17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</w:tr>
      <w:tr>
        <w:trPr>
          <w:trHeight w:hRule="exact" w:val="160"/>
        </w:trPr>
        <w:tc>
          <w:tcPr>
            <w:tcW w:type="dxa" w:w="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3</w:t>
            </w:r>
          </w:p>
        </w:tc>
        <w:tc>
          <w:tcPr>
            <w:tcW w:type="dxa" w:w="90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120" w:after="0"/>
              <w:ind w:left="0" w:right="0" w:firstLine="0"/>
              <w:jc w:val="center"/>
            </w:pP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92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20" w:after="0"/>
              <w:ind w:left="288" w:right="288" w:firstLine="0"/>
              <w:jc w:val="center"/>
            </w:pP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740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740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17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" w:after="0"/>
              <w:ind w:left="94" w:right="0" w:firstLine="0"/>
              <w:jc w:val="lef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4</w:t>
            </w:r>
          </w:p>
        </w:tc>
        <w:tc>
          <w:tcPr>
            <w:tcW w:type="dxa" w:w="1740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1740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90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132" w:after="0"/>
              <w:ind w:left="0" w:right="0" w:firstLine="0"/>
              <w:jc w:val="center"/>
            </w:pP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740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17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</w:tr>
      <w:tr>
        <w:trPr>
          <w:trHeight w:hRule="exact" w:val="196"/>
        </w:trPr>
        <w:tc>
          <w:tcPr>
            <w:tcW w:type="dxa" w:w="77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0" w:after="0"/>
              <w:ind w:left="94" w:right="0" w:firstLine="0"/>
              <w:jc w:val="lef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5</w:t>
            </w:r>
          </w:p>
        </w:tc>
        <w:tc>
          <w:tcPr>
            <w:tcW w:type="dxa" w:w="1740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1740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1740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1740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17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64" w:lineRule="auto" w:before="472" w:after="0"/>
        <w:ind w:left="4" w:right="0" w:firstLine="0"/>
        <w:jc w:val="left"/>
      </w:pPr>
      <w:r>
        <w:rPr>
          <w:w w:val="98.09384712806116"/>
          <w:rFonts w:ascii="Charis SIL" w:hAnsi="Charis SIL" w:eastAsia="Charis SIL"/>
          <w:b/>
          <w:i w:val="0"/>
          <w:color w:val="000000"/>
          <w:sz w:val="13"/>
        </w:rPr>
        <w:t>Table 5</w:t>
      </w:r>
    </w:p>
    <w:p>
      <w:pPr>
        <w:autoSpaceDN w:val="0"/>
        <w:autoSpaceDE w:val="0"/>
        <w:widowControl/>
        <w:spacing w:line="264" w:lineRule="auto" w:before="0" w:after="14"/>
        <w:ind w:left="4" w:right="0" w:firstLine="0"/>
        <w:jc w:val="left"/>
      </w:pP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>Item–item similarity matrix.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40"/>
        <w:gridCol w:w="1740"/>
        <w:gridCol w:w="1740"/>
        <w:gridCol w:w="1740"/>
        <w:gridCol w:w="1740"/>
        <w:gridCol w:w="1740"/>
      </w:tblGrid>
      <w:tr>
        <w:trPr>
          <w:trHeight w:hRule="exact" w:val="226"/>
        </w:trPr>
        <w:tc>
          <w:tcPr>
            <w:tcW w:type="dxa" w:w="1512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582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1</w:t>
            </w:r>
          </w:p>
        </w:tc>
        <w:tc>
          <w:tcPr>
            <w:tcW w:type="dxa" w:w="10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584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98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568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3</w:t>
            </w:r>
          </w:p>
        </w:tc>
        <w:tc>
          <w:tcPr>
            <w:tcW w:type="dxa" w:w="74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28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⋯</w:t>
            </w:r>
          </w:p>
        </w:tc>
        <w:tc>
          <w:tcPr>
            <w:tcW w:type="dxa" w:w="79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390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𝑅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𝑄</w:t>
            </w:r>
          </w:p>
        </w:tc>
      </w:tr>
      <w:tr>
        <w:trPr>
          <w:trHeight w:hRule="exact" w:val="230"/>
        </w:trPr>
        <w:tc>
          <w:tcPr>
            <w:tcW w:type="dxa" w:w="19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" w:after="0"/>
              <w:ind w:left="0" w:right="0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𝑁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1</w:t>
            </w:r>
          </w:p>
        </w:tc>
        <w:tc>
          <w:tcPr>
            <w:tcW w:type="dxa" w:w="132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6" w:after="0"/>
              <w:ind w:left="0" w:right="306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𝑠𝑖𝑚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 xml:space="preserve">𝑁 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𝑅</w:t>
            </w:r>
          </w:p>
        </w:tc>
        <w:tc>
          <w:tcPr>
            <w:tcW w:type="dxa" w:w="10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6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𝑠𝑖𝑚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 xml:space="preserve">𝑁 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𝑅</w:t>
            </w:r>
          </w:p>
        </w:tc>
        <w:tc>
          <w:tcPr>
            <w:tcW w:type="dxa" w:w="98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6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𝑠𝑖𝑚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 xml:space="preserve">𝑁 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𝑅</w:t>
            </w:r>
          </w:p>
        </w:tc>
        <w:tc>
          <w:tcPr>
            <w:tcW w:type="dxa" w:w="74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44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⋯</w:t>
            </w:r>
          </w:p>
        </w:tc>
        <w:tc>
          <w:tcPr>
            <w:tcW w:type="dxa" w:w="79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0" w:right="116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𝑠𝑖𝑚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 xml:space="preserve">𝑁 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 xml:space="preserve">𝑅 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𝑄</w:t>
            </w:r>
          </w:p>
        </w:tc>
      </w:tr>
      <w:tr>
        <w:trPr>
          <w:trHeight w:hRule="exact" w:val="208"/>
        </w:trPr>
        <w:tc>
          <w:tcPr>
            <w:tcW w:type="dxa" w:w="1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𝑁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306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𝑠𝑖𝑚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 xml:space="preserve">𝑁 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𝑅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𝑠𝑖𝑚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 xml:space="preserve">𝑁 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𝑅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𝑠𝑖𝑚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 xml:space="preserve">𝑁 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𝑅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14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⋯</w:t>
            </w:r>
          </w:p>
        </w:tc>
        <w:tc>
          <w:tcPr>
            <w:tcW w:type="dxa" w:w="7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116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𝑠𝑖𝑚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 xml:space="preserve">𝑁 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 xml:space="preserve">𝑅 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𝑄</w:t>
            </w:r>
          </w:p>
        </w:tc>
      </w:tr>
      <w:tr>
        <w:trPr>
          <w:trHeight w:hRule="exact" w:val="192"/>
        </w:trPr>
        <w:tc>
          <w:tcPr>
            <w:tcW w:type="dxa" w:w="1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𝑁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3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306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𝑠𝑖𝑚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 xml:space="preserve">𝑁 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3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𝑅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𝑠𝑖𝑚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 xml:space="preserve">𝑁 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3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𝑅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𝑠𝑖𝑚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 xml:space="preserve">𝑁 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3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𝑅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⋯</w:t>
            </w:r>
          </w:p>
        </w:tc>
        <w:tc>
          <w:tcPr>
            <w:tcW w:type="dxa" w:w="7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116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𝑠𝑖𝑚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 xml:space="preserve">𝑁 </w:t>
            </w:r>
            <w:r>
              <w:rPr>
                <w:w w:val="106.2666654586792"/>
                <w:rFonts w:ascii="STIXMath" w:hAnsi="STIXMath" w:eastAsia="STIXMath"/>
                <w:b w:val="0"/>
                <w:i w:val="0"/>
                <w:color w:val="000000"/>
                <w:sz w:val="6"/>
              </w:rPr>
              <w:t>3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 xml:space="preserve">𝑅 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𝑄</w:t>
            </w:r>
          </w:p>
        </w:tc>
      </w:tr>
      <w:tr>
        <w:trPr>
          <w:trHeight w:hRule="exact" w:val="140"/>
        </w:trPr>
        <w:tc>
          <w:tcPr>
            <w:tcW w:type="dxa" w:w="1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0" w:after="0"/>
              <w:ind w:left="0" w:right="0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⋯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⋯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0" w:after="0"/>
              <w:ind w:left="0" w:right="572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⋯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0" w:after="0"/>
              <w:ind w:left="0" w:right="554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⋯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⋱</w:t>
            </w:r>
          </w:p>
        </w:tc>
        <w:tc>
          <w:tcPr>
            <w:tcW w:type="dxa" w:w="7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0" w:after="0"/>
              <w:ind w:left="0" w:right="382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⋯</w:t>
            </w:r>
          </w:p>
        </w:tc>
      </w:tr>
      <w:tr>
        <w:trPr>
          <w:trHeight w:hRule="exact" w:val="248"/>
        </w:trPr>
        <w:tc>
          <w:tcPr>
            <w:tcW w:type="dxa" w:w="19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 xml:space="preserve">𝑁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𝐾</w:t>
            </w:r>
          </w:p>
        </w:tc>
        <w:tc>
          <w:tcPr>
            <w:tcW w:type="dxa" w:w="132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4" w:after="0"/>
              <w:ind w:left="0" w:right="306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𝑠𝑖𝑚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 xml:space="preserve">𝑁 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𝐾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𝑅</w:t>
            </w:r>
          </w:p>
        </w:tc>
        <w:tc>
          <w:tcPr>
            <w:tcW w:type="dxa" w:w="10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4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𝑠𝑖𝑚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 xml:space="preserve">𝑁 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𝐾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𝑅</w:t>
            </w:r>
          </w:p>
        </w:tc>
        <w:tc>
          <w:tcPr>
            <w:tcW w:type="dxa" w:w="98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4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𝑠𝑖𝑚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 xml:space="preserve">𝑁 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𝐾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𝑅</w:t>
            </w:r>
          </w:p>
        </w:tc>
        <w:tc>
          <w:tcPr>
            <w:tcW w:type="dxa" w:w="74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36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⋯</w:t>
            </w:r>
          </w:p>
        </w:tc>
        <w:tc>
          <w:tcPr>
            <w:tcW w:type="dxa" w:w="79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4" w:after="0"/>
              <w:ind w:left="0" w:right="118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𝑠𝑖𝑚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 xml:space="preserve">𝑁 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𝐾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,𝑖</w:t>
            </w:r>
            <w:r>
              <w:rPr>
                <w:w w:val="106.2666654586792"/>
                <w:rFonts w:ascii="STIXMath" w:hAnsi="STIXMath" w:eastAsia="STIXMath"/>
                <w:b w:val="0"/>
                <w:i/>
                <w:color w:val="000000"/>
                <w:sz w:val="6"/>
              </w:rPr>
              <w:t>𝑅</w:t>
            </w:r>
          </w:p>
        </w:tc>
      </w:tr>
      <w:tr>
        <w:trPr>
          <w:trHeight w:hRule="exact" w:val="4890"/>
        </w:trPr>
        <w:tc>
          <w:tcPr>
            <w:tcW w:type="dxa" w:w="5030"/>
            <w:gridSpan w:val="6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514" w:after="0"/>
              <w:ind w:left="4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of the Item–Item similarity matrix where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𝑠𝑖𝑚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 xml:space="preserve">𝑁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𝑘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,𝑖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𝑅𝑞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 denotes the similarity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between items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𝑁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𝑘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𝑅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𝑞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.</w:t>
            </w:r>
          </w:p>
          <w:p>
            <w:pPr>
              <w:autoSpaceDN w:val="0"/>
              <w:autoSpaceDE w:val="0"/>
              <w:widowControl/>
              <w:spacing w:line="200" w:lineRule="exact" w:before="88" w:after="0"/>
              <w:ind w:left="4" w:right="4" w:firstLine="238"/>
              <w:jc w:val="both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The local recommender checks the item–item similarity matrix to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obtain the top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𝑙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 most similar items in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𝐼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𝑅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 to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𝑁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𝑘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. To make rating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prediction for item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𝑁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𝑘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, the ratings of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𝑢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𝑡𝑎𝑟𝑔𝑒𝑡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 on the top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𝑙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 most similar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items are considered using Eq.</w:t>
            </w:r>
            <w:r>
              <w:rPr>
                <w:rFonts w:ascii="Charis SIL" w:hAnsi="Charis SIL" w:eastAsia="Charis SIL"/>
                <w:b w:val="0"/>
                <w:i w:val="0"/>
                <w:color w:val="007FAC"/>
                <w:sz w:val="16"/>
              </w:rPr>
              <w:t xml:space="preserve"> (8)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:</w:t>
            </w:r>
          </w:p>
          <w:p>
            <w:pPr>
              <w:autoSpaceDN w:val="0"/>
              <w:autoSpaceDE w:val="0"/>
              <w:widowControl/>
              <w:spacing w:line="260" w:lineRule="exact" w:before="264" w:after="0"/>
              <w:ind w:left="4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𝑢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𝑡𝑎𝑟𝑔𝑒𝑡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,𝑖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𝑁</w:t>
            </w:r>
          </w:p>
          <w:p>
            <w:pPr>
              <w:autoSpaceDN w:val="0"/>
              <w:tabs>
                <w:tab w:pos="452" w:val="left"/>
                <w:tab w:pos="788" w:val="left"/>
              </w:tabs>
              <w:autoSpaceDE w:val="0"/>
              <w:widowControl/>
              <w:spacing w:line="530" w:lineRule="exact" w:before="0" w:after="0"/>
              <w:ind w:left="4" w:right="3888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𝑠𝑖𝑚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 xml:space="preserve">𝑁 </w:t>
            </w:r>
            <w:r>
              <w:br/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𝑘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𝑄</w:t>
            </w:r>
          </w:p>
          <w:p>
            <w:pPr>
              <w:autoSpaceDN w:val="0"/>
              <w:tabs>
                <w:tab w:pos="934" w:val="left"/>
              </w:tabs>
              <w:autoSpaceDE w:val="0"/>
              <w:widowControl/>
              <w:spacing w:line="502" w:lineRule="exact" w:before="0" w:after="0"/>
              <w:ind w:left="788" w:right="3456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𝑘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,𝑖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 xml:space="preserve">𝑅𝑞 </w:t>
            </w:r>
            <w:r>
              <w:br/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𝑞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=1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𝑠𝑖𝑚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𝑁</w:t>
            </w:r>
          </w:p>
          <w:p>
            <w:pPr>
              <w:autoSpaceDN w:val="0"/>
              <w:tabs>
                <w:tab w:pos="1186" w:val="left"/>
                <w:tab w:pos="1330" w:val="left"/>
                <w:tab w:pos="1468" w:val="left"/>
              </w:tabs>
              <w:autoSpaceDE w:val="0"/>
              <w:widowControl/>
              <w:spacing w:line="466" w:lineRule="exact" w:before="0" w:after="0"/>
              <w:ind w:left="1134" w:right="864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denotes the similarity between items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𝑁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𝑄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𝑞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=1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𝑠𝑖𝑚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 xml:space="preserve">𝑁 </w:t>
            </w:r>
            <w:r>
              <w:br/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𝑘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,𝑖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𝑅𝑞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𝑢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𝑡𝑎𝑟𝑔𝑒𝑡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,𝑖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𝑅𝑞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)</w:t>
            </w:r>
          </w:p>
          <w:p>
            <w:pPr>
              <w:autoSpaceDN w:val="0"/>
              <w:autoSpaceDE w:val="0"/>
              <w:widowControl/>
              <w:spacing w:line="228" w:lineRule="exact" w:before="0" w:after="0"/>
              <w:ind w:left="0" w:right="2946" w:firstLine="0"/>
              <w:jc w:val="righ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𝑘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,𝑖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𝑅𝑞</w:t>
            </w:r>
          </w:p>
          <w:p>
            <w:pPr>
              <w:autoSpaceDN w:val="0"/>
              <w:tabs>
                <w:tab w:pos="4194" w:val="left"/>
                <w:tab w:pos="4586" w:val="left"/>
                <w:tab w:pos="4816" w:val="left"/>
              </w:tabs>
              <w:autoSpaceDE w:val="0"/>
              <w:widowControl/>
              <w:spacing w:line="414" w:lineRule="exact" w:before="0" w:after="0"/>
              <w:ind w:left="3992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𝑘 </w:t>
            </w:r>
            <w:r>
              <w:tab/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𝑅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𝑞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and </w:t>
            </w:r>
            <w:r>
              <w:br/>
            </w:r>
            <w:r>
              <w:tab/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(8)</w:t>
            </w:r>
          </w:p>
          <w:p>
            <w:pPr>
              <w:autoSpaceDN w:val="0"/>
              <w:autoSpaceDE w:val="0"/>
              <w:widowControl/>
              <w:spacing w:line="372" w:lineRule="exact" w:before="0" w:after="0"/>
              <w:ind w:left="0" w:right="0" w:firstLine="0"/>
              <w:jc w:val="center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𝑢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𝑡𝑎𝑟𝑔𝑒𝑡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,𝑖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𝑅𝑞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 denotes the rating of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𝑢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𝑡𝑎𝑟𝑔𝑒𝑡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 to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𝑅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In general, when making predictions, the approach depends on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𝑞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in the user–item rating matrix.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4" w:right="4" w:firstLine="0"/>
              <w:jc w:val="both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whether the item in question has already been rated by the target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user and its similar users, which is implied by an entry in the user–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item rating matrix. If an entry exists, the predicted rating generated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through collaborative filtering is utilized as the predicted rating for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that item. On the other hand, if there is no existing entry for the item,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the content-based filtering approach is employed instead. Therefore,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the content-based filtering approach is only utilized when collaborative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filtering is unable to make a rating prediction for the specific product.</w:t>
            </w:r>
          </w:p>
        </w:tc>
      </w:tr>
    </w:tbl>
    <w:p>
      <w:pPr>
        <w:autoSpaceDN w:val="0"/>
        <w:autoSpaceDE w:val="0"/>
        <w:widowControl/>
        <w:spacing w:line="264" w:lineRule="auto" w:before="48" w:after="0"/>
        <w:ind w:left="4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>2.2. Simulation environment</w:t>
      </w:r>
    </w:p>
    <w:p>
      <w:pPr>
        <w:autoSpaceDN w:val="0"/>
        <w:tabs>
          <w:tab w:pos="242" w:val="left"/>
          <w:tab w:pos="4712" w:val="left"/>
        </w:tabs>
        <w:autoSpaceDE w:val="0"/>
        <w:widowControl/>
        <w:spacing w:line="245" w:lineRule="auto" w:before="106" w:after="0"/>
        <w:ind w:left="4" w:right="0" w:firstLine="0"/>
        <w:jc w:val="left"/>
      </w:pP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ONE (Opportunistic Network Environment) simulator </w:t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[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33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is a simulation engine developed in Java that enables the execution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of large-scale experiments in opportunistic networks. It provides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capability to assign diverse mobility models to different groups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nodes, allowing for the generation of movement patterns that mimic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real-world agent navigation. Additionally, ONE allows users to specify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routing protocol to be employed by each node for message routing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within the network. The interactions between nodes as they traverse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simulation environment can be visualized through ONE’s graphical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user interface or logged for future analysis. Leveraging ONE’s appli-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cation programming interface (API), we have developed a prototype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delay-tolerant digital marketplace to evaluate the effectiveness of our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proposed recommender system.</w:t>
      </w:r>
    </w:p>
    <w:p>
      <w:pPr>
        <w:sectPr>
          <w:type w:val="continuous"/>
          <w:pgSz w:w="11906" w:h="15874"/>
          <w:pgMar w:top="330" w:right="720" w:bottom="288" w:left="748" w:header="720" w:footer="720" w:gutter="0"/>
          <w:cols w:space="720" w:num="2" w:equalWidth="0">
            <w:col w:w="5102" w:space="0"/>
            <w:col w:w="5335" w:space="0"/>
            <w:col w:w="10438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74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6" w:h="15874"/>
          <w:pgMar w:top="330" w:right="720" w:bottom="288" w:left="748" w:header="720" w:footer="720" w:gutter="0"/>
          <w:cols w:space="720" w:num="2" w:equalWidth="0">
            <w:col w:w="5102" w:space="0"/>
            <w:col w:w="5335" w:space="0"/>
            <w:col w:w="10438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6" w:val="left"/>
        </w:tabs>
        <w:autoSpaceDE w:val="0"/>
        <w:widowControl/>
        <w:spacing w:line="264" w:lineRule="auto" w:before="0" w:after="154"/>
        <w:ind w:left="4" w:right="0" w:firstLine="0"/>
        <w:jc w:val="left"/>
      </w:pPr>
      <w:r>
        <w:rPr>
          <w:w w:val="98.09384712806116"/>
          <w:rFonts w:ascii="Charis SIL" w:hAnsi="Charis SIL" w:eastAsia="Charis SIL"/>
          <w:b w:val="0"/>
          <w:i/>
          <w:color w:val="000000"/>
          <w:sz w:val="13"/>
        </w:rPr>
        <w:t xml:space="preserve">V.M. Romero II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100299</w:t>
      </w:r>
    </w:p>
    <w:p>
      <w:pPr>
        <w:sectPr>
          <w:pgSz w:w="11906" w:h="15874"/>
          <w:pgMar w:top="330" w:right="720" w:bottom="288" w:left="748" w:header="720" w:footer="720" w:gutter="0"/>
          <w:cols w:space="720" w:num="1" w:equalWidth="0">
            <w:col w:w="10438" w:space="0"/>
            <w:col w:w="5102" w:space="0"/>
            <w:col w:w="5335" w:space="0"/>
            <w:col w:w="10438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9"/>
        <w:gridCol w:w="5219"/>
      </w:tblGrid>
      <w:tr>
        <w:trPr>
          <w:trHeight w:hRule="exact" w:val="394"/>
        </w:trPr>
        <w:tc>
          <w:tcPr>
            <w:tcW w:type="dxa" w:w="383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4" w:right="144" w:firstLine="0"/>
              <w:jc w:val="left"/>
            </w:pPr>
            <w:r>
              <w:rPr>
                <w:w w:val="98.09384712806116"/>
                <w:rFonts w:ascii="Charis SIL" w:hAnsi="Charis SIL" w:eastAsia="Charis SIL"/>
                <w:b/>
                <w:i w:val="0"/>
                <w:color w:val="000000"/>
                <w:sz w:val="13"/>
              </w:rPr>
              <w:t xml:space="preserve">Table 7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General parameters used for recommender system simulation.</w:t>
            </w:r>
          </w:p>
        </w:tc>
        <w:tc>
          <w:tcPr>
            <w:tcW w:type="dxa" w:w="119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38"/>
        </w:trPr>
        <w:tc>
          <w:tcPr>
            <w:tcW w:type="dxa" w:w="38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0" w:after="0"/>
              <w:ind w:left="94" w:right="0" w:firstLine="0"/>
              <w:jc w:val="left"/>
            </w:pP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Parameter</w:t>
            </w:r>
          </w:p>
        </w:tc>
        <w:tc>
          <w:tcPr>
            <w:tcW w:type="dxa" w:w="11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0" w:after="0"/>
              <w:ind w:left="248" w:right="0" w:firstLine="0"/>
              <w:jc w:val="left"/>
            </w:pP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Value</w:t>
            </w:r>
          </w:p>
        </w:tc>
      </w:tr>
      <w:tr>
        <w:trPr>
          <w:trHeight w:hRule="exact" w:val="1780"/>
        </w:trPr>
        <w:tc>
          <w:tcPr>
            <w:tcW w:type="dxa" w:w="38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94" w:right="2160" w:firstLine="0"/>
              <w:jc w:val="left"/>
            </w:pP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Simulation update interval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Scenario end time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Request message size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Default message size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Message TTL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Routing protocol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Transmission range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Message buffer size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Item vector threshold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Item similarity threshold</w:t>
            </w:r>
          </w:p>
        </w:tc>
        <w:tc>
          <w:tcPr>
            <w:tcW w:type="dxa" w:w="11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248" w:right="0" w:firstLine="0"/>
              <w:jc w:val="left"/>
            </w:pP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0.1 s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9000 s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1 KB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300 KB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2 min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Direct delivery </w:t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200 m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50 MB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0.01 </w:t>
            </w:r>
            <w:r>
              <w:br/>
            </w:r>
            <w:r>
              <w:rPr>
                <w:w w:val="98.09384712806116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0.3</w:t>
            </w:r>
          </w:p>
        </w:tc>
      </w:tr>
    </w:tbl>
    <w:p>
      <w:pPr>
        <w:autoSpaceDN w:val="0"/>
        <w:autoSpaceDE w:val="0"/>
        <w:widowControl/>
        <w:spacing w:line="245" w:lineRule="auto" w:before="444" w:after="0"/>
        <w:ind w:left="4" w:right="76" w:firstLine="0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consistency of events across different simulation scenarios and facil-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itates reproducibility. Once the simulation begins, nodes start moving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according to their assigned mobility models. They establish connections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with other nodes in close proximity, reflecting the opportunistic nature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of the network. Throughout the simulation, reports are continuously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updated to gather statistics that capture various aspects of the network’s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state, including encounters, topology, and buffer occupancy.</w:t>
      </w:r>
    </w:p>
    <w:p>
      <w:pPr>
        <w:autoSpaceDN w:val="0"/>
        <w:tabs>
          <w:tab w:pos="242" w:val="left"/>
        </w:tabs>
        <w:autoSpaceDE w:val="0"/>
        <w:widowControl/>
        <w:spacing w:line="245" w:lineRule="auto" w:before="138" w:after="0"/>
        <w:ind w:left="4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2.2.4. General simulation parameters </w:t>
      </w:r>
      <w:r>
        <w:br/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general parameters and their default values are summarized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in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 xml:space="preserve"> Table 7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. The update interval of a simulation denotes the discrete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time interval between event processing. It is believed that no events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are processed between two timestamps. This parameter is set to 0.1 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to allow for the recording of events that occur during possibly brief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contact between nodes. Simulation time for all scenarios is set to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9000 s. The transmission speed is set to 11 Mbps, which is equal to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IEEE 802.11b standard’s theoretical maximum throughput. Messages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received by each node are sent to adjacent neighbors using Direct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Delivery as a routing protocol until they reach their destination or are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dropped due to expired time-to-live values, which is set to 2 min.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parameters are configured in this manner because of the nature of our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proposed approach which only sends messages to nodes that are in their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respective transmission range. Therefore, the TTL of the messages only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need to be long enough to be sent to the final recipient. When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messages are already received by their final recipient, they are deleted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from the message buffer of the sender. At the same time, the messages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are no longer added to the message buffer of the receiver. The message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buffer size of each node is 50 MB and their corresponding transmission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range is set to 200 m. The size of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RequestMessage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is 1 KB while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size of the other messages –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ProductMessage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,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SimilarProfilesMessage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, </w:t>
      </w:r>
      <w:r>
        <w:rPr>
          <w:rFonts w:ascii="Charis SIL" w:hAnsi="Charis SIL" w:eastAsia="Charis SIL"/>
          <w:b w:val="0"/>
          <w:i/>
          <w:color w:val="000000"/>
          <w:sz w:val="16"/>
        </w:rPr>
        <w:t>ProfileUpdateMessage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,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BeaconMessage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– is set to 300 KB.</w:t>
      </w:r>
    </w:p>
    <w:p>
      <w:pPr>
        <w:autoSpaceDN w:val="0"/>
        <w:tabs>
          <w:tab w:pos="242" w:val="left"/>
        </w:tabs>
        <w:autoSpaceDE w:val="0"/>
        <w:widowControl/>
        <w:spacing w:line="245" w:lineRule="auto" w:before="136" w:after="0"/>
        <w:ind w:left="4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2.2.5. Dataset filtering </w:t>
      </w:r>
      <w:r>
        <w:br/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Users have different interests, which can be reflected on their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purchase history. To emulate this, we use the user rating dataset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extracted from Amazon website such that the nodes in the simulation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will exhibit actual rating behaviors of real users in an e-commerce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site. The dataset contains product metadata and reviews by actual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users of the ecommerce platform from May 1996 to October 2018.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Each product’s metadata include its description, category, information,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prices, among others. There are 233.1 million total number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reviews and 29 product categories in the dataset. However, due to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constraints in computing resources, only products under the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Grocery </w:t>
      </w:r>
      <w:r>
        <w:rPr>
          <w:rFonts w:ascii="Charis SIL" w:hAnsi="Charis SIL" w:eastAsia="Charis SIL"/>
          <w:b w:val="0"/>
          <w:i/>
          <w:color w:val="000000"/>
          <w:sz w:val="16"/>
        </w:rPr>
        <w:t>and Gourmet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category are considered which contains 283,354 products,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4,887,517 ratings by 2,695,230 users. The dataset is further filtered to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include only users with at least 20 ratings to make user profiles more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representative.</w:t>
      </w:r>
    </w:p>
    <w:p>
      <w:pPr>
        <w:autoSpaceDN w:val="0"/>
        <w:autoSpaceDE w:val="0"/>
        <w:widowControl/>
        <w:spacing w:line="245" w:lineRule="auto" w:before="0" w:after="0"/>
        <w:ind w:left="4" w:right="76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Since the number of users in the reduced version of the dataset 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7689, exceeding the allotted number of nodes for the simulation, 170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users are randomly selected. The dataset contains the timestamp of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actual time the items were rated by the users in the website. Therefore,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we split the ratings of each user into train and test set based on their</w:t>
      </w:r>
    </w:p>
    <w:p>
      <w:pPr>
        <w:sectPr>
          <w:type w:val="continuous"/>
          <w:pgSz w:w="11906" w:h="15874"/>
          <w:pgMar w:top="330" w:right="720" w:bottom="288" w:left="748" w:header="720" w:footer="720" w:gutter="0"/>
          <w:cols w:space="720" w:num="2" w:equalWidth="0"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74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6" w:h="15874"/>
          <w:pgMar w:top="330" w:right="720" w:bottom="288" w:left="748" w:header="720" w:footer="720" w:gutter="0"/>
          <w:cols w:space="720" w:num="2" w:equalWidth="0"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3785870</wp:posOffset>
            </wp:positionH>
            <wp:positionV relativeFrom="page">
              <wp:posOffset>622300</wp:posOffset>
            </wp:positionV>
            <wp:extent cx="2865120" cy="1775825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7758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4152900</wp:posOffset>
            </wp:positionH>
            <wp:positionV relativeFrom="page">
              <wp:posOffset>1028700</wp:posOffset>
            </wp:positionV>
            <wp:extent cx="101600" cy="508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4533900</wp:posOffset>
            </wp:positionH>
            <wp:positionV relativeFrom="page">
              <wp:posOffset>952500</wp:posOffset>
            </wp:positionV>
            <wp:extent cx="228600" cy="889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88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032" w:val="left"/>
        </w:tabs>
        <w:autoSpaceDE w:val="0"/>
        <w:widowControl/>
        <w:spacing w:line="264" w:lineRule="auto" w:before="0" w:after="0"/>
        <w:ind w:left="0" w:right="0" w:firstLine="0"/>
        <w:jc w:val="left"/>
      </w:pPr>
      <w:r>
        <w:rPr>
          <w:w w:val="98.09384712806116"/>
          <w:rFonts w:ascii="Charis SIL" w:hAnsi="Charis SIL" w:eastAsia="Charis SIL"/>
          <w:b w:val="0"/>
          <w:i/>
          <w:color w:val="000000"/>
          <w:sz w:val="13"/>
        </w:rPr>
        <w:t xml:space="preserve">V.M. Romero II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100299</w:t>
      </w:r>
    </w:p>
    <w:p>
      <w:pPr>
        <w:autoSpaceDN w:val="0"/>
        <w:autoSpaceDE w:val="0"/>
        <w:widowControl/>
        <w:spacing w:line="240" w:lineRule="auto" w:before="214" w:after="0"/>
        <w:ind w:left="75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88920" cy="162179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6217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968" w:val="left"/>
        </w:tabs>
        <w:autoSpaceDE w:val="0"/>
        <w:widowControl/>
        <w:spacing w:line="240" w:lineRule="auto" w:before="202" w:after="0"/>
        <w:ind w:left="184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33500" cy="127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685800" cy="127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4" w:lineRule="auto" w:before="372" w:after="482"/>
        <w:ind w:left="0" w:right="0" w:firstLine="0"/>
        <w:jc w:val="center"/>
      </w:pPr>
      <w:r>
        <w:rPr>
          <w:w w:val="98.09384712806116"/>
          <w:rFonts w:ascii="Charis SIL" w:hAnsi="Charis SIL" w:eastAsia="Charis SIL"/>
          <w:b/>
          <w:i w:val="0"/>
          <w:color w:val="000000"/>
          <w:sz w:val="13"/>
        </w:rPr>
        <w:t>Fig. 4.</w:t>
      </w: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 xml:space="preserve"> Performance of our proposed hybrid recommender system and pure collaborative filtering using Amazon dataset.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238" w:val="left"/>
        </w:tabs>
        <w:autoSpaceDE w:val="0"/>
        <w:widowControl/>
        <w:spacing w:line="245" w:lineRule="auto" w:before="0" w:after="0"/>
        <w:ind w:left="0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2.3.3. DTN set-up </w:t>
      </w:r>
      <w:r>
        <w:br/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The next set of experiments focus on how our proposed recom-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mender system makes rating predictions on products in a delay-tolerant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environment. Over time, the MAE and coverage may change as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nodes obtain the profiles of their most similar users. Therefore, we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compute the MAE and coverage every 5.0 s from the start of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simulation to track the performance of the recommender system as it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gathers the profiles of more similar users in the network. We compare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performance of the reference algorithm and our proposed hybrid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recommender system in a DTN environment. This experiment deter-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mines the viability of our proposed hybrid approach in improving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performance of our reference algorithm in building a recommender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system in a delay-tolerant environment. Finally, we conduct a com-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parison between the performance of the proposed hybrid approach 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both a centralized setup and a DTN setup. This experiment aims to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determine the degree of success achieved by the DTN version despite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the challenging network conditions.</w:t>
      </w:r>
    </w:p>
    <w:p>
      <w:pPr>
        <w:autoSpaceDN w:val="0"/>
        <w:autoSpaceDE w:val="0"/>
        <w:widowControl/>
        <w:spacing w:line="264" w:lineRule="auto" w:before="138" w:after="0"/>
        <w:ind w:left="0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>3. Results and discussions</w:t>
      </w:r>
    </w:p>
    <w:p>
      <w:pPr>
        <w:autoSpaceDN w:val="0"/>
        <w:autoSpaceDE w:val="0"/>
        <w:widowControl/>
        <w:spacing w:line="245" w:lineRule="auto" w:before="136" w:after="0"/>
        <w:ind w:left="0" w:right="74" w:firstLine="238"/>
        <w:jc w:val="both"/>
      </w:pPr>
      <w:r>
        <w:rPr>
          <w:rFonts w:ascii="Charis SIL" w:hAnsi="Charis SIL" w:eastAsia="Charis SIL"/>
          <w:b w:val="0"/>
          <w:i w:val="0"/>
          <w:color w:val="007FAC"/>
          <w:sz w:val="16"/>
        </w:rPr>
        <w:t>Fig. 4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compares the performance of the reference algorithm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proposed hybrid approach. The coverage of the proposed hybrid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approach is higher than the coverage of the reference algorithm. Our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proposed approach was able to perform well in terms of coverage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despite the sparseness of the user–item rating matrix which signals that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proposed hybrid recommender system was able to alleviate the cold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start problem for new items which is evident in this dataset.</w:t>
      </w:r>
    </w:p>
    <w:p>
      <w:pPr>
        <w:autoSpaceDN w:val="0"/>
        <w:tabs>
          <w:tab w:pos="238" w:val="left"/>
        </w:tabs>
        <w:autoSpaceDE w:val="0"/>
        <w:widowControl/>
        <w:spacing w:line="245" w:lineRule="auto" w:before="0" w:after="0"/>
        <w:ind w:left="0" w:right="0" w:firstLine="0"/>
        <w:jc w:val="left"/>
      </w:pP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MAE of both approaches did not increase nor decrease as it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considers the opinions of more similar users. Because the nodes 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this part of the experiment are chosen at random, the nodes have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low similarity with each other. There are instances where the nodes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cannot fill up their corresponding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SimilarProfilesBuffer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. Therefore, their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list of similar users considered in making rating predictions is no longer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increased despite increasing the size of the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SimilarProfilesBuffer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. </w:t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performance of the proposed hybrid approach and the reference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algorithm are tested in a delay-tolerant environment where nodes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no longer have global access to the profiles of all the users in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network. Instead, nodes obtain the profiles of similar users through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opportunistic exchange over clustered topology. Both approaches are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tested considering the ratings of different number of similar users 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predicting the ratings of users on items. The results are shown in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 xml:space="preserve"> Figs. 5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, 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>6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,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 xml:space="preserve"> 7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,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 xml:space="preserve"> 8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, and</w:t>
      </w:r>
      <w:r>
        <w:rPr>
          <w:rFonts w:ascii="Charis SIL" w:hAnsi="Charis SIL" w:eastAsia="Charis SIL"/>
          <w:b w:val="0"/>
          <w:i w:val="0"/>
          <w:color w:val="007FAC"/>
          <w:sz w:val="16"/>
        </w:rPr>
        <w:t xml:space="preserve"> 9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45" w:lineRule="auto" w:before="0" w:after="0"/>
        <w:ind w:left="0" w:right="74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At the start of the simulation, the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SimilarProfilesBuffer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of all nodes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are still empty because they have not had any contact with any other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nodes in the network yet. The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SimilarProfilesBuffer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of each node 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gradually filled over time. However, the similarity of the user profiles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76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9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1739900</wp:posOffset>
            </wp:positionH>
            <wp:positionV relativeFrom="page">
              <wp:posOffset>7188200</wp:posOffset>
            </wp:positionV>
            <wp:extent cx="63500" cy="381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953769</wp:posOffset>
            </wp:positionH>
            <wp:positionV relativeFrom="page">
              <wp:posOffset>6896100</wp:posOffset>
            </wp:positionV>
            <wp:extent cx="2799080" cy="1626451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62645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032" w:val="left"/>
        </w:tabs>
        <w:autoSpaceDE w:val="0"/>
        <w:widowControl/>
        <w:spacing w:line="264" w:lineRule="auto" w:before="0" w:after="1342"/>
        <w:ind w:left="0" w:right="0" w:firstLine="0"/>
        <w:jc w:val="left"/>
      </w:pPr>
      <w:r>
        <w:rPr>
          <w:w w:val="98.09384712806116"/>
          <w:rFonts w:ascii="Charis SIL" w:hAnsi="Charis SIL" w:eastAsia="Charis SIL"/>
          <w:b w:val="0"/>
          <w:i/>
          <w:color w:val="000000"/>
          <w:sz w:val="13"/>
        </w:rPr>
        <w:t xml:space="preserve">V.M. Romero II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100299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75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01620" cy="162814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1628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10509" cy="162814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0509" cy="1628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04"/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6988" w:val="left"/>
        </w:tabs>
        <w:autoSpaceDE w:val="0"/>
        <w:widowControl/>
        <w:spacing w:line="240" w:lineRule="auto" w:before="0" w:after="0"/>
        <w:ind w:left="18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33500" cy="1397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97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698500" cy="1397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4" w:lineRule="auto" w:before="502" w:after="1114"/>
        <w:ind w:left="0" w:right="0" w:firstLine="0"/>
        <w:jc w:val="center"/>
      </w:pPr>
      <w:r>
        <w:rPr>
          <w:w w:val="98.09384712806116"/>
          <w:rFonts w:ascii="Charis SIL" w:hAnsi="Charis SIL" w:eastAsia="Charis SIL"/>
          <w:b/>
          <w:i w:val="0"/>
          <w:color w:val="000000"/>
          <w:sz w:val="13"/>
        </w:rPr>
        <w:t>Fig. 5.</w:t>
      </w: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 xml:space="preserve"> Performance of proposed hybrid recommender system vs. pure collaborative filtering over delay-tolerant network considering the ratings of 5 similar users.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74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00350" cy="163195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31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190" w:space="0"/>
            <w:col w:w="5243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13049" cy="163195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3049" cy="1631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04"/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190" w:space="0"/>
            <w:col w:w="5243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6988" w:val="left"/>
        </w:tabs>
        <w:autoSpaceDE w:val="0"/>
        <w:widowControl/>
        <w:spacing w:line="240" w:lineRule="auto" w:before="0" w:after="0"/>
        <w:ind w:left="18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33500" cy="127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685800" cy="127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4" w:lineRule="auto" w:before="172" w:after="0"/>
        <w:ind w:left="0" w:right="0" w:firstLine="0"/>
        <w:jc w:val="center"/>
      </w:pPr>
      <w:r>
        <w:rPr>
          <w:w w:val="98.09384712806116"/>
          <w:rFonts w:ascii="Charis SIL" w:hAnsi="Charis SIL" w:eastAsia="Charis SIL"/>
          <w:b/>
          <w:i w:val="0"/>
          <w:color w:val="000000"/>
          <w:sz w:val="13"/>
        </w:rPr>
        <w:t>Fig. 6.</w:t>
      </w: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 xml:space="preserve"> Performance of proposed hybrid recommender system vs. pure collaborative filtering over delay-tolerant network considering the ratings of 10 similar users.</w:t>
      </w:r>
    </w:p>
    <w:p>
      <w:pPr>
        <w:autoSpaceDN w:val="0"/>
        <w:autoSpaceDE w:val="0"/>
        <w:widowControl/>
        <w:spacing w:line="240" w:lineRule="auto" w:before="418" w:after="0"/>
        <w:ind w:left="0" w:right="78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810509" cy="162687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0509" cy="16268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988" w:val="left"/>
        </w:tabs>
        <w:autoSpaceDE w:val="0"/>
        <w:widowControl/>
        <w:spacing w:line="240" w:lineRule="auto" w:before="198" w:after="0"/>
        <w:ind w:left="18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33500" cy="1397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97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698500" cy="1397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4" w:lineRule="auto" w:before="162" w:after="0"/>
        <w:ind w:left="0" w:right="0" w:firstLine="0"/>
        <w:jc w:val="center"/>
      </w:pPr>
      <w:r>
        <w:rPr>
          <w:w w:val="98.09384712806116"/>
          <w:rFonts w:ascii="Charis SIL" w:hAnsi="Charis SIL" w:eastAsia="Charis SIL"/>
          <w:b/>
          <w:i w:val="0"/>
          <w:color w:val="000000"/>
          <w:sz w:val="13"/>
        </w:rPr>
        <w:t>Fig. 7.</w:t>
      </w: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 xml:space="preserve"> Performance of proposed hybrid recommender system vs. pure collaborative filtering over delay-tolerant network considering the ratings of 15 similar users.</w:t>
      </w:r>
    </w:p>
    <w:p>
      <w:pPr>
        <w:autoSpaceDN w:val="0"/>
        <w:autoSpaceDE w:val="0"/>
        <w:widowControl/>
        <w:spacing w:line="240" w:lineRule="auto" w:before="858" w:after="0"/>
        <w:ind w:left="0" w:right="0" w:firstLine="0"/>
        <w:jc w:val="center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10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190" w:space="0"/>
            <w:col w:w="5243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4152900</wp:posOffset>
            </wp:positionH>
            <wp:positionV relativeFrom="page">
              <wp:posOffset>5664200</wp:posOffset>
            </wp:positionV>
            <wp:extent cx="88900" cy="381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5321300</wp:posOffset>
            </wp:positionH>
            <wp:positionV relativeFrom="page">
              <wp:posOffset>5626100</wp:posOffset>
            </wp:positionV>
            <wp:extent cx="38100" cy="381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4533900</wp:posOffset>
            </wp:positionH>
            <wp:positionV relativeFrom="page">
              <wp:posOffset>5588000</wp:posOffset>
            </wp:positionV>
            <wp:extent cx="228600" cy="762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3789679</wp:posOffset>
            </wp:positionH>
            <wp:positionV relativeFrom="page">
              <wp:posOffset>5323840</wp:posOffset>
            </wp:positionV>
            <wp:extent cx="2818129" cy="1613409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8129" cy="161340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5588000</wp:posOffset>
            </wp:positionH>
            <wp:positionV relativeFrom="page">
              <wp:posOffset>3314700</wp:posOffset>
            </wp:positionV>
            <wp:extent cx="38100" cy="381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3801110</wp:posOffset>
            </wp:positionH>
            <wp:positionV relativeFrom="page">
              <wp:posOffset>3013710</wp:posOffset>
            </wp:positionV>
            <wp:extent cx="2807969" cy="1623262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07969" cy="162326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955040</wp:posOffset>
            </wp:positionH>
            <wp:positionV relativeFrom="page">
              <wp:posOffset>3013710</wp:posOffset>
            </wp:positionV>
            <wp:extent cx="2802890" cy="1623848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162384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1739900</wp:posOffset>
            </wp:positionH>
            <wp:positionV relativeFrom="page">
              <wp:posOffset>3302000</wp:posOffset>
            </wp:positionV>
            <wp:extent cx="63500" cy="508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032" w:val="left"/>
        </w:tabs>
        <w:autoSpaceDE w:val="0"/>
        <w:widowControl/>
        <w:spacing w:line="264" w:lineRule="auto" w:before="0" w:after="216"/>
        <w:ind w:left="0" w:right="0" w:firstLine="0"/>
        <w:jc w:val="left"/>
      </w:pPr>
      <w:r>
        <w:rPr>
          <w:w w:val="98.09384712806116"/>
          <w:rFonts w:ascii="Charis SIL" w:hAnsi="Charis SIL" w:eastAsia="Charis SIL"/>
          <w:b w:val="0"/>
          <w:i/>
          <w:color w:val="000000"/>
          <w:sz w:val="13"/>
        </w:rPr>
        <w:t xml:space="preserve">V.M. Romero II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100299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10433" w:space="0"/>
            <w:col w:w="5190" w:space="0"/>
            <w:col w:w="5243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75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09240" cy="1620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620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210" w:space="0"/>
            <w:col w:w="5223" w:space="0"/>
            <w:col w:w="10433" w:space="0"/>
            <w:col w:w="10433" w:space="0"/>
            <w:col w:w="5190" w:space="0"/>
            <w:col w:w="5243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99080" cy="1620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620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02"/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210" w:space="0"/>
            <w:col w:w="5223" w:space="0"/>
            <w:col w:w="10433" w:space="0"/>
            <w:col w:w="10433" w:space="0"/>
            <w:col w:w="5190" w:space="0"/>
            <w:col w:w="5243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7008" w:val="left"/>
        </w:tabs>
        <w:autoSpaceDE w:val="0"/>
        <w:widowControl/>
        <w:spacing w:line="240" w:lineRule="auto" w:before="0" w:after="0"/>
        <w:ind w:left="19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33500" cy="1397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97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685800" cy="1397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4" w:lineRule="auto" w:before="164" w:after="0"/>
        <w:ind w:left="0" w:right="0" w:firstLine="0"/>
        <w:jc w:val="center"/>
      </w:pPr>
      <w:r>
        <w:rPr>
          <w:w w:val="98.09384712806116"/>
          <w:rFonts w:ascii="Charis SIL" w:hAnsi="Charis SIL" w:eastAsia="Charis SIL"/>
          <w:b/>
          <w:i w:val="0"/>
          <w:color w:val="000000"/>
          <w:sz w:val="13"/>
        </w:rPr>
        <w:t>Fig. 8.</w:t>
      </w: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 xml:space="preserve"> Performance of proposed hybrid recommender system vs. pure collaborative filtering over delay-tolerant network considering the ratings of 20 similar users.</w:t>
      </w:r>
    </w:p>
    <w:p>
      <w:pPr>
        <w:autoSpaceDN w:val="0"/>
        <w:tabs>
          <w:tab w:pos="7008" w:val="left"/>
        </w:tabs>
        <w:autoSpaceDE w:val="0"/>
        <w:widowControl/>
        <w:spacing w:line="240" w:lineRule="auto" w:before="3026" w:after="0"/>
        <w:ind w:left="18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33500" cy="1397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97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685800" cy="1397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4" w:lineRule="auto" w:before="164" w:after="0"/>
        <w:ind w:left="0" w:right="0" w:firstLine="0"/>
        <w:jc w:val="center"/>
      </w:pPr>
      <w:r>
        <w:rPr>
          <w:w w:val="98.09384712806116"/>
          <w:rFonts w:ascii="Charis SIL" w:hAnsi="Charis SIL" w:eastAsia="Charis SIL"/>
          <w:b/>
          <w:i w:val="0"/>
          <w:color w:val="000000"/>
          <w:sz w:val="13"/>
        </w:rPr>
        <w:t>Fig. 9.</w:t>
      </w: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 xml:space="preserve"> Performance of proposed hybrid recommender system vs. pure collaborative filtering over delay-tolerant network considering the ratings of 25 similar users.</w:t>
      </w:r>
    </w:p>
    <w:p>
      <w:pPr>
        <w:autoSpaceDN w:val="0"/>
        <w:autoSpaceDE w:val="0"/>
        <w:widowControl/>
        <w:spacing w:line="240" w:lineRule="auto" w:before="270" w:after="0"/>
        <w:ind w:left="75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94000" cy="16129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612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968" w:val="left"/>
        </w:tabs>
        <w:autoSpaceDE w:val="0"/>
        <w:widowControl/>
        <w:spacing w:line="240" w:lineRule="auto" w:before="216" w:after="0"/>
        <w:ind w:left="18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33500" cy="1270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685800" cy="1270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4" w:lineRule="auto" w:before="174" w:after="182"/>
        <w:ind w:left="0" w:right="0" w:firstLine="0"/>
        <w:jc w:val="center"/>
      </w:pPr>
      <w:r>
        <w:rPr>
          <w:w w:val="98.09384712806116"/>
          <w:rFonts w:ascii="Charis SIL" w:hAnsi="Charis SIL" w:eastAsia="Charis SIL"/>
          <w:b/>
          <w:i w:val="0"/>
          <w:color w:val="000000"/>
          <w:sz w:val="13"/>
        </w:rPr>
        <w:t>Fig. 10.</w:t>
      </w: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 xml:space="preserve"> Performance of proposed hybrid recommender system in centralized vs. DTN set-up.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210" w:space="0"/>
            <w:col w:w="5223" w:space="0"/>
            <w:col w:w="10433" w:space="0"/>
            <w:col w:w="10433" w:space="0"/>
            <w:col w:w="5190" w:space="0"/>
            <w:col w:w="5243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56" w:firstLine="0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revealed that the reference algorithm achieves better MAE, but at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expense of significantly lower coverage. In contrast, the proposed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hybrid approach exhibits higher coverage while having a slightly higher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MAE. The choice between these two approaches depends on the trade-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off between higher coverage and a slightly higher MAE, or lower MAE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with a smaller set of user–item pairs for rating predictions. Notably,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MAE of the proposed hybrid approach is expected to improve as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more users provide ratings for items. In the delay-tolerant network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environment, the proposed hybrid approach demonstrates its ability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to make rating predictions even in the absence of user profiles from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other network nodes. In such cases, the recommender system relies 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pure content-based filtering. As nodes progressively obtain profiles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more similar users, the coverage of the system increases. This indicates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that considering the ratings of users with higher similarity to the target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210" w:space="0"/>
            <w:col w:w="5223" w:space="0"/>
            <w:col w:w="10433" w:space="0"/>
            <w:col w:w="10433" w:space="0"/>
            <w:col w:w="5190" w:space="0"/>
            <w:col w:w="5243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8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11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210" w:space="0"/>
            <w:col w:w="5223" w:space="0"/>
            <w:col w:w="10433" w:space="0"/>
            <w:col w:w="10433" w:space="0"/>
            <w:col w:w="5190" w:space="0"/>
            <w:col w:w="5243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64" w:lineRule="auto" w:before="0" w:after="140"/>
        <w:ind w:left="0" w:right="0" w:firstLine="0"/>
        <w:jc w:val="left"/>
      </w:pPr>
      <w:r>
        <w:rPr>
          <w:w w:val="98.09384712806116"/>
          <w:rFonts w:ascii="Charis SIL" w:hAnsi="Charis SIL" w:eastAsia="Charis SIL"/>
          <w:b w:val="0"/>
          <w:i/>
          <w:color w:val="000000"/>
          <w:sz w:val="13"/>
        </w:rPr>
        <w:t xml:space="preserve">V.M. Romero II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100299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78" w:space="0"/>
            <w:col w:w="5355" w:space="0"/>
            <w:col w:w="10433" w:space="0"/>
            <w:col w:w="5210" w:space="0"/>
            <w:col w:w="5223" w:space="0"/>
            <w:col w:w="10433" w:space="0"/>
            <w:col w:w="10433" w:space="0"/>
            <w:col w:w="5190" w:space="0"/>
            <w:col w:w="5243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56" w:firstLine="0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Investigation, Data curation, Writing – original draft, Writing – re-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view &amp; editing, Visualization.</w:t>
      </w:r>
      <w:r>
        <w:rPr>
          <w:rFonts w:ascii="Charis SIL" w:hAnsi="Charis SIL" w:eastAsia="Charis SIL"/>
          <w:b/>
          <w:i w:val="0"/>
          <w:color w:val="000000"/>
          <w:sz w:val="16"/>
        </w:rPr>
        <w:t xml:space="preserve"> Jay Martin Z. Nuevo: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Conceptualiza-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tion, Methodology, Software, Validation, Formal analysis, Investiga-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tion, Data curation, Writing – original draft, Visualization.</w:t>
      </w:r>
    </w:p>
    <w:p>
      <w:pPr>
        <w:autoSpaceDN w:val="0"/>
        <w:autoSpaceDE w:val="0"/>
        <w:widowControl/>
        <w:spacing w:line="264" w:lineRule="auto" w:before="132" w:after="0"/>
        <w:ind w:left="0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>Declaration of competing interest</w:t>
      </w:r>
    </w:p>
    <w:p>
      <w:pPr>
        <w:autoSpaceDN w:val="0"/>
        <w:autoSpaceDE w:val="0"/>
        <w:widowControl/>
        <w:spacing w:line="245" w:lineRule="auto" w:before="132" w:after="0"/>
        <w:ind w:left="0" w:right="56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The authors declare the following financial interests/personal rela-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tionships which may be considered as potential competing interests: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Victor M. Romero II reports financial support was provided by Uni-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versity of the Philippines Visayas - Office of the Vice Chancellor for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Research and Extension.</w:t>
      </w:r>
    </w:p>
    <w:p>
      <w:pPr>
        <w:autoSpaceDN w:val="0"/>
        <w:autoSpaceDE w:val="0"/>
        <w:widowControl/>
        <w:spacing w:line="264" w:lineRule="auto" w:before="130" w:after="0"/>
        <w:ind w:left="0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>Data availability</w:t>
      </w:r>
    </w:p>
    <w:p>
      <w:pPr>
        <w:autoSpaceDN w:val="0"/>
        <w:autoSpaceDE w:val="0"/>
        <w:widowControl/>
        <w:spacing w:line="264" w:lineRule="auto" w:before="132" w:after="0"/>
        <w:ind w:left="238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Data will be made available on request.</w:t>
      </w:r>
    </w:p>
    <w:p>
      <w:pPr>
        <w:autoSpaceDN w:val="0"/>
        <w:autoSpaceDE w:val="0"/>
        <w:widowControl/>
        <w:spacing w:line="264" w:lineRule="auto" w:before="132" w:after="0"/>
        <w:ind w:left="0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>Acknowledgment</w:t>
      </w:r>
    </w:p>
    <w:p>
      <w:pPr>
        <w:autoSpaceDN w:val="0"/>
        <w:autoSpaceDE w:val="0"/>
        <w:widowControl/>
        <w:spacing w:line="245" w:lineRule="auto" w:before="130" w:after="0"/>
        <w:ind w:left="0" w:right="56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This study was supported by the University of the Philippines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Visayas - Office of the Vice Chancellor for Research and Extension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through its Regular In-house Research grant.</w:t>
      </w:r>
    </w:p>
    <w:p>
      <w:pPr>
        <w:autoSpaceDN w:val="0"/>
        <w:autoSpaceDE w:val="0"/>
        <w:widowControl/>
        <w:spacing w:line="264" w:lineRule="auto" w:before="130" w:after="0"/>
        <w:ind w:left="0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>References</w:t>
      </w:r>
    </w:p>
    <w:p>
      <w:pPr>
        <w:autoSpaceDN w:val="0"/>
        <w:autoSpaceDE w:val="0"/>
        <w:widowControl/>
        <w:spacing w:line="245" w:lineRule="auto" w:before="134" w:after="0"/>
        <w:ind w:left="378" w:right="56" w:hanging="278"/>
        <w:jc w:val="both"/>
      </w:pP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>[1]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54" w:history="1">
          <w:r>
            <w:rPr>
              <w:rStyle w:val="Hyperlink"/>
            </w:rPr>
            <w:t>Chenji H, Stoleru R. Delay-tolerant networks (DTNs) for emergency commu-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54" w:history="1">
          <w:r>
            <w:rPr>
              <w:rStyle w:val="Hyperlink"/>
            </w:rPr>
            <w:t xml:space="preserve">nications. In: Advances in delay-tolerant networks (DTNs). Elsevier; 2021, p. 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54" w:history="1">
          <w:r>
            <w:rPr>
              <w:rStyle w:val="Hyperlink"/>
            </w:rPr>
            <w:t>103–34.</w:t>
          </w:r>
        </w:hyperlink>
      </w:r>
    </w:p>
    <w:p>
      <w:pPr>
        <w:autoSpaceDN w:val="0"/>
        <w:autoSpaceDE w:val="0"/>
        <w:widowControl/>
        <w:spacing w:line="245" w:lineRule="auto" w:before="0" w:after="0"/>
        <w:ind w:left="378" w:right="56" w:hanging="278"/>
        <w:jc w:val="both"/>
      </w:pP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>[2]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55" w:history="1">
          <w:r>
            <w:rPr>
              <w:rStyle w:val="Hyperlink"/>
            </w:rPr>
            <w:t xml:space="preserve">Penning A, Baumgärtner L, Höchst J, Sterz A, Mezini M, Freisleben B. Dtn7: An 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55" w:history="1">
          <w:r>
            <w:rPr>
              <w:rStyle w:val="Hyperlink"/>
            </w:rPr>
            <w:t xml:space="preserve">open-source disruption-tolerant networking implementation of bundle protocol 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55" w:history="1">
          <w:r>
            <w:rPr>
              <w:rStyle w:val="Hyperlink"/>
            </w:rPr>
            <w:t xml:space="preserve">7. In: Ad-hoc, mobile, and wireless networks: 18th International conference on 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55" w:history="1">
          <w:r>
            <w:rPr>
              <w:rStyle w:val="Hyperlink"/>
            </w:rPr>
            <w:t xml:space="preserve">ad-hoc networks and wireless, ADHOC-now 2019, Luxembourg, Luxembourg, 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55" w:history="1">
          <w:r>
            <w:rPr>
              <w:rStyle w:val="Hyperlink"/>
            </w:rPr>
            <w:t>October 1–3, 2019, Proceedings 18. Springer; 2019, p. 196–209.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245" w:lineRule="auto" w:before="0" w:after="0"/>
        <w:ind w:left="100" w:right="0" w:firstLine="0"/>
        <w:jc w:val="left"/>
      </w:pP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>[3]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55" w:history="1">
          <w:r>
            <w:rPr>
              <w:rStyle w:val="Hyperlink"/>
            </w:rPr>
            <w:t>Baek KM, Seo DY, Chung YW. An improved opportunistic routing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56" w:history="1">
          <w:r>
            <w:rPr>
              <w:rStyle w:val="Hyperlink"/>
            </w:rPr>
            <w:t xml:space="preserve"> protocol based </w:t>
          </w:r>
        </w:hyperlink>
      </w:r>
      <w:r>
        <w:tab/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56" w:history="1">
          <w:r>
            <w:rPr>
              <w:rStyle w:val="Hyperlink"/>
            </w:rPr>
            <w:t>on context information of mobile nodes. Appl Sci 2018;8(8):1344.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245" w:lineRule="auto" w:before="0" w:after="0"/>
        <w:ind w:left="100" w:right="0" w:firstLine="0"/>
        <w:jc w:val="left"/>
      </w:pP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>[4]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56" w:history="1">
          <w:r>
            <w:rPr>
              <w:rStyle w:val="Hyperlink"/>
            </w:rPr>
            <w:t>Burleigh S. Delay-tolerant electronic commerce. In: 2015 Internation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57" w:history="1">
          <w:r>
            <w:rPr>
              <w:rStyle w:val="Hyperlink"/>
            </w:rPr>
            <w:t xml:space="preserve">al conference </w:t>
          </w:r>
        </w:hyperlink>
      </w:r>
      <w:r>
        <w:tab/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57" w:history="1">
          <w:r>
            <w:rPr>
              <w:rStyle w:val="Hyperlink"/>
            </w:rPr>
            <w:t xml:space="preserve">on wireless communications &amp; signal processing (WCSP). IEEE; 2015, p. 1–4. 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>[5]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58" w:history="1">
          <w:r>
            <w:rPr>
              <w:rStyle w:val="Hyperlink"/>
            </w:rPr>
            <w:t>Schildt S, Morgenroth J, Pöttner W-B, Wolf L. Ibr-dtn: a lightweight, modul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58" w:history="1">
          <w:r>
            <w:rPr>
              <w:rStyle w:val="Hyperlink"/>
            </w:rPr>
            <w:t xml:space="preserve">ar </w:t>
          </w:r>
        </w:hyperlink>
      </w:r>
      <w:r>
        <w:tab/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58" w:history="1">
          <w:r>
            <w:rPr>
              <w:rStyle w:val="Hyperlink"/>
            </w:rPr>
            <w:t xml:space="preserve">and highly portable bundle protocol implementation. Electronic Communications </w:t>
          </w:r>
        </w:hyperlink>
      </w:r>
      <w:r>
        <w:tab/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58" w:history="1">
          <w:r>
            <w:rPr>
              <w:rStyle w:val="Hyperlink"/>
            </w:rPr>
            <w:t>of the EASST 2011;37.</w:t>
          </w:r>
        </w:hyperlink>
      </w:r>
    </w:p>
    <w:p>
      <w:pPr>
        <w:autoSpaceDN w:val="0"/>
        <w:autoSpaceDE w:val="0"/>
        <w:widowControl/>
        <w:spacing w:line="245" w:lineRule="auto" w:before="0" w:after="0"/>
        <w:ind w:left="378" w:right="56" w:hanging="278"/>
        <w:jc w:val="both"/>
      </w:pP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>[6]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58" w:history="1">
          <w:r>
            <w:rPr>
              <w:rStyle w:val="Hyperlink"/>
            </w:rPr>
            <w:t>Alamdari PM, Navimi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59" w:history="1">
          <w:r>
            <w:rPr>
              <w:rStyle w:val="Hyperlink"/>
            </w:rPr>
            <w:t xml:space="preserve">pour NJ, Hosseinzadeh M, Safaei AA, Darwesh A. A 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59" w:history="1">
          <w:r>
            <w:rPr>
              <w:rStyle w:val="Hyperlink"/>
            </w:rPr>
            <w:t xml:space="preserve">systematic study on the recommender systems in the E-commerce. IEEE Access 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59" w:history="1">
          <w:r>
            <w:rPr>
              <w:rStyle w:val="Hyperlink"/>
            </w:rPr>
            <w:t>2020;8:115694–716.</w:t>
          </w:r>
        </w:hyperlink>
      </w:r>
    </w:p>
    <w:p>
      <w:pPr>
        <w:autoSpaceDN w:val="0"/>
        <w:autoSpaceDE w:val="0"/>
        <w:widowControl/>
        <w:spacing w:line="245" w:lineRule="auto" w:before="0" w:after="0"/>
        <w:ind w:left="378" w:right="56" w:hanging="278"/>
        <w:jc w:val="both"/>
      </w:pP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>[7]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59" w:history="1">
          <w:r>
            <w:rPr>
              <w:rStyle w:val="Hyperlink"/>
            </w:rPr>
            <w:t>Galeano D, Paccana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60" w:history="1">
          <w:r>
            <w:rPr>
              <w:rStyle w:val="Hyperlink"/>
            </w:rPr>
            <w:t xml:space="preserve">ro A. A recommender system approach for predicting drug 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60" w:history="1">
          <w:r>
            <w:rPr>
              <w:rStyle w:val="Hyperlink"/>
            </w:rPr>
            <w:t xml:space="preserve">side effects. In: 2018 International joint conference on neural networks (IJCNN). 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60" w:history="1">
          <w:r>
            <w:rPr>
              <w:rStyle w:val="Hyperlink"/>
            </w:rPr>
            <w:t>IEEE; 2018, p. 1–8.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245" w:lineRule="auto" w:before="0" w:after="0"/>
        <w:ind w:left="100" w:right="0" w:firstLine="0"/>
        <w:jc w:val="left"/>
      </w:pP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>[8]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61" w:history="1">
          <w:r>
            <w:rPr>
              <w:rStyle w:val="Hyperlink"/>
            </w:rPr>
            <w:t>Berkani L. A seman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61" w:history="1">
          <w:r>
            <w:rPr>
              <w:rStyle w:val="Hyperlink"/>
            </w:rPr>
            <w:t xml:space="preserve">tic and social-based collaborative recommendation of friends </w:t>
          </w:r>
        </w:hyperlink>
      </w:r>
      <w:r>
        <w:tab/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61" w:history="1">
          <w:r>
            <w:rPr>
              <w:rStyle w:val="Hyperlink"/>
            </w:rPr>
            <w:t>in social networks. Softw - Pract Exp 2020;50(8):1498–519.</w:t>
          </w:r>
        </w:hyperlink>
      </w:r>
    </w:p>
    <w:p>
      <w:pPr>
        <w:autoSpaceDN w:val="0"/>
        <w:autoSpaceDE w:val="0"/>
        <w:widowControl/>
        <w:spacing w:line="245" w:lineRule="auto" w:before="0" w:after="0"/>
        <w:ind w:left="378" w:right="56" w:hanging="278"/>
        <w:jc w:val="both"/>
      </w:pP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>[9]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61" w:history="1">
          <w:r>
            <w:rPr>
              <w:rStyle w:val="Hyperlink"/>
            </w:rPr>
            <w:t>Kbaier MEBH, Masri H, Krichen S. A personalized hybrid to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62" w:history="1">
          <w:r>
            <w:rPr>
              <w:rStyle w:val="Hyperlink"/>
            </w:rPr>
            <w:t xml:space="preserve">urism recommender 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62" w:history="1">
          <w:r>
            <w:rPr>
              <w:rStyle w:val="Hyperlink"/>
            </w:rPr>
            <w:t xml:space="preserve">system. In: 2017 IEEE/ACS 14th International conference on computer systems 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62" w:history="1">
          <w:r>
            <w:rPr>
              <w:rStyle w:val="Hyperlink"/>
            </w:rPr>
            <w:t>and applications (AICCSA). IEEE; 2017, p. 244–50.</w:t>
          </w:r>
        </w:hyperlink>
      </w:r>
    </w:p>
    <w:p>
      <w:pPr>
        <w:autoSpaceDN w:val="0"/>
        <w:autoSpaceDE w:val="0"/>
        <w:widowControl/>
        <w:spacing w:line="245" w:lineRule="auto" w:before="0" w:after="0"/>
        <w:ind w:left="378" w:right="56" w:hanging="350"/>
        <w:jc w:val="both"/>
      </w:pP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>[10]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62" w:history="1">
          <w:r>
            <w:rPr>
              <w:rStyle w:val="Hyperlink"/>
            </w:rPr>
            <w:t>Turnip R, Nurjanah D, Kusumo DS. Hybrid recom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63" w:history="1">
          <w:r>
            <w:rPr>
              <w:rStyle w:val="Hyperlink"/>
            </w:rPr>
            <w:t xml:space="preserve">mender system for learning 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63" w:history="1">
          <w:r>
            <w:rPr>
              <w:rStyle w:val="Hyperlink"/>
            </w:rPr>
            <w:t xml:space="preserve">material using content-based filtering and collaborative filtering with good 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63" w:history="1">
          <w:r>
            <w:rPr>
              <w:rStyle w:val="Hyperlink"/>
            </w:rPr>
            <w:t xml:space="preserve">learners’ rating. In: 2017 IEEE conference on e-learning, e-management and 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63" w:history="1">
          <w:r>
            <w:rPr>
              <w:rStyle w:val="Hyperlink"/>
            </w:rPr>
            <w:t>e-services (IC3e). IEEE; 2017, p. 61–6.</w:t>
          </w:r>
        </w:hyperlink>
      </w:r>
    </w:p>
    <w:p>
      <w:pPr>
        <w:autoSpaceDN w:val="0"/>
        <w:autoSpaceDE w:val="0"/>
        <w:widowControl/>
        <w:spacing w:line="245" w:lineRule="auto" w:before="0" w:after="0"/>
        <w:ind w:left="378" w:right="56" w:hanging="350"/>
        <w:jc w:val="both"/>
      </w:pP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>[11]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63" w:history="1">
          <w:r>
            <w:rPr>
              <w:rStyle w:val="Hyperlink"/>
            </w:rPr>
            <w:t>Wenzhen W. Personalized music reco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64" w:history="1">
          <w:r>
            <w:rPr>
              <w:rStyle w:val="Hyperlink"/>
            </w:rPr>
            <w:t xml:space="preserve">mmendation algorithm based on hybrid 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64" w:history="1">
          <w:r>
            <w:rPr>
              <w:rStyle w:val="Hyperlink"/>
            </w:rPr>
            <w:t xml:space="preserve">collaborative filtering technology. In: 2019 International conference on smart 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64" w:history="1">
          <w:r>
            <w:rPr>
              <w:rStyle w:val="Hyperlink"/>
            </w:rPr>
            <w:t>grid and electrical automation (ICSGEA). IEEE; 2019, p. 280–3.</w:t>
          </w:r>
        </w:hyperlink>
      </w:r>
    </w:p>
    <w:p>
      <w:pPr>
        <w:autoSpaceDN w:val="0"/>
        <w:autoSpaceDE w:val="0"/>
        <w:widowControl/>
        <w:spacing w:line="245" w:lineRule="auto" w:before="0" w:after="0"/>
        <w:ind w:left="378" w:right="56" w:hanging="350"/>
        <w:jc w:val="both"/>
      </w:pPr>
      <w:r>
        <w:rPr>
          <w:w w:val="98.09384712806116"/>
          <w:rFonts w:ascii="Charis SIL" w:hAnsi="Charis SIL" w:eastAsia="Charis SIL"/>
          <w:b w:val="0"/>
          <w:i w:val="0"/>
          <w:color w:val="000000"/>
          <w:sz w:val="13"/>
        </w:rPr>
        <w:t>[12]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64" w:history="1">
          <w:r>
            <w:rPr>
              <w:rStyle w:val="Hyperlink"/>
            </w:rPr>
            <w:t>Forouzandeh S, Aghdam AR, Barkhordari M, Fahimi SA, Vayqan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65" w:history="1">
          <w:r>
            <w:rPr>
              <w:rStyle w:val="Hyperlink"/>
            </w:rPr>
            <w:t xml:space="preserve"> MK, Forouzan-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65" w:history="1">
          <w:r>
            <w:rPr>
              <w:rStyle w:val="Hyperlink"/>
            </w:rPr>
            <w:t xml:space="preserve">deh S, Khani EG. Recommender system for users of internet of things (IOT). Int </w:t>
          </w:r>
        </w:hyperlink>
      </w:r>
      <w:r>
        <w:rPr>
          <w:w w:val="98.09384712806116"/>
          <w:rFonts w:ascii="Charis SIL" w:hAnsi="Charis SIL" w:eastAsia="Charis SIL"/>
          <w:b w:val="0"/>
          <w:i w:val="0"/>
          <w:color w:val="007FAC"/>
          <w:sz w:val="13"/>
        </w:rPr>
        <w:hyperlink r:id="rId65" w:history="1">
          <w:r>
            <w:rPr>
              <w:rStyle w:val="Hyperlink"/>
            </w:rPr>
            <w:t>J Comput Sci Netw Secur 2017;17(8):46.</w:t>
          </w:r>
        </w:hyperlink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210" w:space="0"/>
            <w:col w:w="5223" w:space="0"/>
            <w:col w:w="10433" w:space="0"/>
            <w:col w:w="10433" w:space="0"/>
            <w:col w:w="5190" w:space="0"/>
            <w:col w:w="5243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8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12</w:t>
      </w:r>
    </w:p>
    <w:sectPr w:rsidR="00FC693F" w:rsidRPr="0006063C" w:rsidSect="00034616">
      <w:type w:val="nextColumn"/>
      <w:pgSz w:w="11906" w:h="15874"/>
      <w:pgMar w:top="330" w:right="720" w:bottom="288" w:left="752" w:header="720" w:footer="720" w:gutter="0"/>
      <w:cols w:space="720" w:num="2" w:equalWidth="0">
        <w:col w:w="5078" w:space="0"/>
        <w:col w:w="5355" w:space="0"/>
        <w:col w:w="10433" w:space="0"/>
        <w:col w:w="5078" w:space="0"/>
        <w:col w:w="5355" w:space="0"/>
        <w:col w:w="10433" w:space="0"/>
        <w:col w:w="5210" w:space="0"/>
        <w:col w:w="5223" w:space="0"/>
        <w:col w:w="10433" w:space="0"/>
        <w:col w:w="10433" w:space="0"/>
        <w:col w:w="5190" w:space="0"/>
        <w:col w:w="5243" w:space="0"/>
        <w:col w:w="10433" w:space="0"/>
        <w:col w:w="5198" w:space="0"/>
        <w:col w:w="5235" w:space="0"/>
        <w:col w:w="10433" w:space="0"/>
        <w:col w:w="5096" w:space="0"/>
        <w:col w:w="5338" w:space="0"/>
        <w:col w:w="10433" w:space="0"/>
        <w:col w:w="5102" w:space="0"/>
        <w:col w:w="5335" w:space="0"/>
        <w:col w:w="10438" w:space="0"/>
        <w:col w:w="5102" w:space="0"/>
        <w:col w:w="5335" w:space="0"/>
        <w:col w:w="10438" w:space="0"/>
        <w:col w:w="5108" w:space="0"/>
        <w:col w:w="5333" w:space="0"/>
        <w:col w:w="10441" w:space="0"/>
        <w:col w:w="5096" w:space="0"/>
        <w:col w:w="5338" w:space="0"/>
        <w:col w:w="10433" w:space="0"/>
        <w:col w:w="5096" w:space="0"/>
        <w:col w:w="5338" w:space="0"/>
        <w:col w:w="10433" w:space="0"/>
        <w:col w:w="5096" w:space="0"/>
        <w:col w:w="5338" w:space="0"/>
        <w:col w:w="10433" w:space="0"/>
        <w:col w:w="5096" w:space="0"/>
        <w:col w:w="5338" w:space="0"/>
        <w:col w:w="10433" w:space="0"/>
        <w:col w:w="10434" w:space="0"/>
        <w:col w:w="5206" w:space="0"/>
        <w:col w:w="5228" w:space="0"/>
        <w:col w:w="1043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3.100299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s://www.elsevier.com/locate/array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://www.elsevier.com/locate/array" TargetMode="External"/><Relationship Id="rId14" Type="http://schemas.openxmlformats.org/officeDocument/2006/relationships/hyperlink" Target="mailto:vmromero@up.edu.ph" TargetMode="External"/><Relationship Id="rId15" Type="http://schemas.openxmlformats.org/officeDocument/2006/relationships/hyperlink" Target="http://creativecommons.org/licenses/by-nc-nd/4.0/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hyperlink" Target="http://refhub.elsevier.com/S2590-0056(23)00024-3/sb1" TargetMode="External"/><Relationship Id="rId55" Type="http://schemas.openxmlformats.org/officeDocument/2006/relationships/hyperlink" Target="http://refhub.elsevier.com/S2590-0056(23)00024-3/sb2" TargetMode="External"/><Relationship Id="rId56" Type="http://schemas.openxmlformats.org/officeDocument/2006/relationships/hyperlink" Target="http://refhub.elsevier.com/S2590-0056(23)00024-3/sb3" TargetMode="External"/><Relationship Id="rId57" Type="http://schemas.openxmlformats.org/officeDocument/2006/relationships/hyperlink" Target="http://refhub.elsevier.com/S2590-0056(23)00024-3/sb4" TargetMode="External"/><Relationship Id="rId58" Type="http://schemas.openxmlformats.org/officeDocument/2006/relationships/hyperlink" Target="http://refhub.elsevier.com/S2590-0056(23)00024-3/sb5" TargetMode="External"/><Relationship Id="rId59" Type="http://schemas.openxmlformats.org/officeDocument/2006/relationships/hyperlink" Target="http://refhub.elsevier.com/S2590-0056(23)00024-3/sb6" TargetMode="External"/><Relationship Id="rId60" Type="http://schemas.openxmlformats.org/officeDocument/2006/relationships/hyperlink" Target="http://refhub.elsevier.com/S2590-0056(23)00024-3/sb7" TargetMode="External"/><Relationship Id="rId61" Type="http://schemas.openxmlformats.org/officeDocument/2006/relationships/hyperlink" Target="http://refhub.elsevier.com/S2590-0056(23)00024-3/sb8" TargetMode="External"/><Relationship Id="rId62" Type="http://schemas.openxmlformats.org/officeDocument/2006/relationships/hyperlink" Target="http://refhub.elsevier.com/S2590-0056(23)00024-3/sb9" TargetMode="External"/><Relationship Id="rId63" Type="http://schemas.openxmlformats.org/officeDocument/2006/relationships/hyperlink" Target="http://refhub.elsevier.com/S2590-0056(23)00024-3/sb10" TargetMode="External"/><Relationship Id="rId64" Type="http://schemas.openxmlformats.org/officeDocument/2006/relationships/hyperlink" Target="http://refhub.elsevier.com/S2590-0056(23)00024-3/sb11" TargetMode="External"/><Relationship Id="rId65" Type="http://schemas.openxmlformats.org/officeDocument/2006/relationships/hyperlink" Target="http://refhub.elsevier.com/S2590-0056(23)00024-3/sb1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