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1409700</wp:posOffset>
            </wp:positionH>
            <wp:positionV relativeFrom="page">
              <wp:posOffset>571500</wp:posOffset>
            </wp:positionV>
            <wp:extent cx="406400" cy="4191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19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1445260</wp:posOffset>
            </wp:positionH>
            <wp:positionV relativeFrom="page">
              <wp:posOffset>572770</wp:posOffset>
            </wp:positionV>
            <wp:extent cx="327659" cy="324597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32459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07"/>
        <w:gridCol w:w="3207"/>
        <w:gridCol w:w="3207"/>
      </w:tblGrid>
      <w:tr>
        <w:trPr>
          <w:trHeight w:hRule="exact" w:val="25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363393"/>
                <w:sz w:val="18"/>
              </w:rPr>
              <w:t>www.sciencedirect.com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32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0" w:right="0" w:firstLine="0"/>
              <w:jc w:val="center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3207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32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6 ( 2014 )  111 – 117 </w:t>
            </w:r>
          </w:p>
        </w:tc>
        <w:tc>
          <w:tcPr>
            <w:tcW w:type="dxa" w:w="32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2" w:lineRule="exact" w:before="592" w:after="0"/>
        <w:ind w:left="9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2013 2nd AASRI Conference on Computational Intelligence and Bioinformatics </w:t>
      </w:r>
    </w:p>
    <w:p>
      <w:pPr>
        <w:autoSpaceDN w:val="0"/>
        <w:tabs>
          <w:tab w:pos="4286" w:val="left"/>
        </w:tabs>
        <w:autoSpaceDE w:val="0"/>
        <w:widowControl/>
        <w:spacing w:line="400" w:lineRule="exact" w:before="240" w:after="0"/>
        <w:ind w:left="87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Action-Scene Model for Human Action Recognition from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>Videos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334" w:lineRule="exact" w:before="206" w:after="0"/>
        <w:ind w:left="0" w:right="278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Yifei Zhang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Wen Qu, Daling Wang </w:t>
      </w:r>
    </w:p>
    <w:p>
      <w:pPr>
        <w:autoSpaceDN w:val="0"/>
        <w:autoSpaceDE w:val="0"/>
        <w:widowControl/>
        <w:spacing w:line="230" w:lineRule="auto" w:before="172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Northeastern University, Shenyang 110819, China </w:t>
      </w:r>
    </w:p>
    <w:p>
      <w:pPr>
        <w:autoSpaceDN w:val="0"/>
        <w:autoSpaceDE w:val="0"/>
        <w:widowControl/>
        <w:spacing w:line="238" w:lineRule="auto" w:before="954" w:after="0"/>
        <w:ind w:left="4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20" w:lineRule="exact" w:before="220" w:after="134"/>
        <w:ind w:left="402" w:right="3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Human action recognition from realistic videos attracts more attention in many practical applications such as on-line video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surveillance and content-based video management. Single action recognition always fails to distinguish similar action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categories due to the complex background settings in realistic videos. In this paper, a novel action-scene model is explored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to learn contextual relationship between actions and scenes in realistic videos. With little prior knowledge on scene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categories, a generative probabilistic framework is used for action inference from background directly based on visual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words. Experimental results on a realistic video dataset validate the effectiveness of the action-scene model for action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recognition from background settings. Extensive experiments were conducted on different feature extracted methods, and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the results show the learned model has good robustness when the features are noisy.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6.0" w:type="dxa"/>
      </w:tblPr>
      <w:tblGrid>
        <w:gridCol w:w="9621"/>
      </w:tblGrid>
      <w:tr>
        <w:trPr>
          <w:trHeight w:hRule="exact" w:val="618"/>
        </w:trPr>
        <w:tc>
          <w:tcPr>
            <w:tcW w:type="dxa" w:w="8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© 2014 The Authors. Published by Elsevier B. V.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Open access under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16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16"/>
              </w:rPr>
              <w:hyperlink r:id="rId11" w:history="1">
                <w:r>
                  <w:rPr>
                    <w:rStyle w:val="Hyperlink"/>
                  </w:rPr>
                  <w:t>CC BY-NC-ND license.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© 2013 Published by Elsevier B.V. </w:t>
            </w:r>
          </w:p>
          <w:p>
            <w:pPr>
              <w:autoSpaceDN w:val="0"/>
              <w:autoSpaceDE w:val="0"/>
              <w:widowControl/>
              <w:spacing w:line="202" w:lineRule="exact" w:before="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Peer-review under responsibility of Scientific Committee of American Applied Science Research Institute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Selection and/or peer review under responsibility of American Applied Science Research Institute </w:t>
            </w:r>
          </w:p>
        </w:tc>
      </w:tr>
    </w:tbl>
    <w:p>
      <w:pPr>
        <w:autoSpaceDN w:val="0"/>
        <w:autoSpaceDE w:val="0"/>
        <w:widowControl/>
        <w:spacing w:line="230" w:lineRule="auto" w:before="186" w:after="0"/>
        <w:ind w:left="402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Keywords: action recognition, contextual cue, video processing, action-scene model </w:t>
      </w:r>
    </w:p>
    <w:p>
      <w:pPr>
        <w:autoSpaceDN w:val="0"/>
        <w:tabs>
          <w:tab w:pos="638" w:val="left"/>
        </w:tabs>
        <w:autoSpaceDE w:val="0"/>
        <w:widowControl/>
        <w:spacing w:line="200" w:lineRule="exact" w:before="1472" w:after="0"/>
        <w:ind w:left="402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Supported by the Key Program of National Natural Science Foundation of China under Grant No.61033007 and the Fundamental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Research Funds for the Central Universities of China under Grant No.N100304004. </w:t>
      </w:r>
    </w:p>
    <w:p>
      <w:pPr>
        <w:autoSpaceDN w:val="0"/>
        <w:autoSpaceDE w:val="0"/>
        <w:widowControl/>
        <w:spacing w:line="200" w:lineRule="exact" w:before="400" w:after="0"/>
        <w:ind w:left="638" w:right="56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 Corresponding author. Tel.: +86-(0)24-83687776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zhangyifei@mail.neu.edu.cn </w:t>
      </w:r>
    </w:p>
    <w:p>
      <w:pPr>
        <w:autoSpaceDN w:val="0"/>
        <w:autoSpaceDE w:val="0"/>
        <w:widowControl/>
        <w:spacing w:line="200" w:lineRule="exact" w:before="1810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2014 The Authors. Published by Elsevier B. V.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Open access under</w:t>
      </w:r>
      <w:r>
        <w:rPr>
          <w:rFonts w:ascii="TimesNewRomanPSMT" w:hAnsi="TimesNewRomanPSMT" w:eastAsia="TimesNewRomanPSMT"/>
          <w:b w:val="0"/>
          <w:i w:val="0"/>
          <w:color w:val="0000FF"/>
          <w:sz w:val="1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FF"/>
          <w:sz w:val="14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Peer-review under responsibility of Scientific Committee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10.1016/j.aasri.2014.05.016 </w:t>
      </w:r>
    </w:p>
    <w:p>
      <w:pPr>
        <w:sectPr>
          <w:pgSz w:w="10885" w:h="14854"/>
          <w:pgMar w:top="438" w:right="640" w:bottom="218" w:left="624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6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112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Yifei Zhang et al. /  AASRI Procedia  6 ( 2014 )  111 – 117 </w:t>
      </w:r>
    </w:p>
    <w:p>
      <w:pPr>
        <w:autoSpaceDN w:val="0"/>
        <w:autoSpaceDE w:val="0"/>
        <w:widowControl/>
        <w:spacing w:line="240" w:lineRule="auto" w:before="396" w:after="0"/>
        <w:ind w:left="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1. Introduction </w:t>
      </w:r>
    </w:p>
    <w:p>
      <w:pPr>
        <w:autoSpaceDN w:val="0"/>
        <w:autoSpaceDE w:val="0"/>
        <w:widowControl/>
        <w:spacing w:line="240" w:lineRule="exact" w:before="240" w:after="0"/>
        <w:ind w:left="260" w:right="254" w:firstLine="3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more and more video surveillance systems appear in every walk of life, automatic human action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recognition from realistic videos has become a major concern for both academic researchers and commercial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companies. In action recognition, one fundamental problem is to recognize whether an action is belong to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given action category. Although a great amount of impressive results have been achieved on datasets collected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controlled environments, such as KTH [1], WEIZMEN [2], much less progresses have been made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realistic videos due to complex background settings and action alternations from realistic videos. However,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intricate background and varied actions equally give us a clue to explore the contextual relationship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between actions and scenes for action recognition on realistic videos. </w:t>
      </w:r>
    </w:p>
    <w:p>
      <w:pPr>
        <w:autoSpaceDN w:val="0"/>
        <w:autoSpaceDE w:val="0"/>
        <w:widowControl/>
        <w:spacing w:line="240" w:lineRule="exact" w:before="0" w:after="0"/>
        <w:ind w:left="260" w:right="144" w:firstLine="30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human actions always occur under particular scenes where a rich source of contextual cues will present,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contextual relationships of background settings could be learned as a complement for action recognition.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Although recognition based on scene detectors have become commonplace in the related literatures [3,4],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main problem of detector based methods is how to select general scene and action categories for all videos.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Otherwise, training detectors is time-consuming and performances of recognition will be affected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learned detectors. </w:t>
      </w:r>
    </w:p>
    <w:p>
      <w:pPr>
        <w:autoSpaceDN w:val="0"/>
        <w:autoSpaceDE w:val="0"/>
        <w:widowControl/>
        <w:spacing w:line="240" w:lineRule="exact" w:before="0" w:after="0"/>
        <w:ind w:left="260" w:right="256" w:firstLine="3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this paper, we intend to learn contextual cues using a generative framework with little prior knowledge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scene categories. The contextual relationship between actions and scenes could be used to infer actions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background settings. An action-scene model is proposed to automatically model the relationship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between actions, scenes and background features, where the number of scenes only need to be given instead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categories of scenes. Firstly, a video will be segmented into person regions and background regions.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Then the relationship of a given action category and scenes will be modeled using an action-scene model.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Finally a factor is computed based on the proposed model to measure the importance of learned context cue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the responding probability of action category is given from this model. </w:t>
      </w:r>
    </w:p>
    <w:p>
      <w:pPr>
        <w:autoSpaceDN w:val="0"/>
        <w:autoSpaceDE w:val="0"/>
        <w:widowControl/>
        <w:spacing w:line="240" w:lineRule="exact" w:before="0" w:after="0"/>
        <w:ind w:left="260" w:right="256" w:firstLine="3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rest of this paper is organized as follows. Section 2 reviews related work. Section 3 describes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process of feature extraction and video representation. Action-scene model is proposed in Section 4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experimental results are shown in section 5. Finally we present concluding remarks and future work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Section 6. </w:t>
      </w:r>
    </w:p>
    <w:p>
      <w:pPr>
        <w:autoSpaceDN w:val="0"/>
        <w:autoSpaceDE w:val="0"/>
        <w:widowControl/>
        <w:spacing w:line="238" w:lineRule="auto" w:before="252" w:after="0"/>
        <w:ind w:left="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2. Related Work </w:t>
      </w:r>
    </w:p>
    <w:p>
      <w:pPr>
        <w:autoSpaceDN w:val="0"/>
        <w:autoSpaceDE w:val="0"/>
        <w:widowControl/>
        <w:spacing w:line="240" w:lineRule="exact" w:before="240" w:after="0"/>
        <w:ind w:left="260" w:right="260" w:firstLine="3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Human action recognition has been an important area of research in the field of computer vision.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single scenario to complicated scenario, various approaches are presented for action recognition to meet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different application demands. </w:t>
      </w:r>
    </w:p>
    <w:p>
      <w:pPr>
        <w:autoSpaceDN w:val="0"/>
        <w:autoSpaceDE w:val="0"/>
        <w:widowControl/>
        <w:spacing w:line="240" w:lineRule="exact" w:before="0" w:after="0"/>
        <w:ind w:left="260" w:right="144" w:firstLine="30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Early works were focus on action recognition with single scene [5]. However, this scenario is too ideal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appear in realistic circumstances. As more attention paid to complex scenarios, some recent approaches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[3,6,7,8] tried to deal with “wild” videos. Laptev et al automatically annotated movie videos using multi-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channel non-linear SVMs [6]. Liu et al proposed a framework to recognize actions which combined both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motion and static features [7]. These appear-based learning approaches work hard to select general scene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types and object categories suitable for all videos. To handle the complex realistic videos, contextual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semantics are used in lots of works. Ikizler-Cinbis et al combined the features of object, scene and actions in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multiple instance learning framework [9]. However, they didn’t learn the relationship between objects, actions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scenes for action identification. Marszalek et al exploited the context of movie scripts and developed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joint scene-action SVM-based classifier by training several scene detectors [4]. However, due to a lack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training data for all the potential objects and scenes, it is time-consuming to collect annotated data for each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category. In addition, a semantic gap would be generated between the learned contextual cues from texts and </w:t>
      </w:r>
    </w:p>
    <w:p>
      <w:pPr>
        <w:sectPr>
          <w:pgSz w:w="10885" w:h="14854"/>
          <w:pgMar w:top="368" w:right="820" w:bottom="1240" w:left="652" w:header="720" w:footer="720" w:gutter="0"/>
          <w:cols w:space="720" w:num="1" w:equalWidth="0">
            <w:col w:w="941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070" w:val="left"/>
        </w:tabs>
        <w:autoSpaceDE w:val="0"/>
        <w:widowControl/>
        <w:spacing w:line="176" w:lineRule="exact" w:before="0" w:after="0"/>
        <w:ind w:left="278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Yifei Zhang et al. /  AASRI Procedia  6 ( 2014 )  111 – 117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113</w:t>
      </w:r>
    </w:p>
    <w:p>
      <w:pPr>
        <w:autoSpaceDN w:val="0"/>
        <w:autoSpaceDE w:val="0"/>
        <w:widowControl/>
        <w:spacing w:line="226" w:lineRule="exact" w:before="402" w:after="0"/>
        <w:ind w:left="1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visual features. </w:t>
      </w:r>
    </w:p>
    <w:p>
      <w:pPr>
        <w:autoSpaceDN w:val="0"/>
        <w:autoSpaceDE w:val="0"/>
        <w:widowControl/>
        <w:spacing w:line="240" w:lineRule="exact" w:before="0" w:after="0"/>
        <w:ind w:left="148" w:right="400" w:firstLine="3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this paper, we propose a novel approach different from the detector-based methods in learning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contextual cues that has no use for action and scene categories. Inspired by the recent work of action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recognition in static images [10] and unsupervised learning method in [2], we use a generative model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represent action and scene in videos. The underlying action-scene dependency is captured on the action-scene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model directly from visual features. </w:t>
      </w:r>
    </w:p>
    <w:p>
      <w:pPr>
        <w:autoSpaceDN w:val="0"/>
        <w:autoSpaceDE w:val="0"/>
        <w:widowControl/>
        <w:spacing w:line="238" w:lineRule="auto" w:before="252" w:after="0"/>
        <w:ind w:left="14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3. Visual Feature Extraction and Video Representation </w:t>
      </w:r>
    </w:p>
    <w:p>
      <w:pPr>
        <w:autoSpaceDN w:val="0"/>
        <w:autoSpaceDE w:val="0"/>
        <w:widowControl/>
        <w:spacing w:line="230" w:lineRule="auto" w:before="250" w:after="0"/>
        <w:ind w:left="14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3.1. Body detection </w:t>
      </w:r>
    </w:p>
    <w:p>
      <w:pPr>
        <w:autoSpaceDN w:val="0"/>
        <w:autoSpaceDE w:val="0"/>
        <w:widowControl/>
        <w:spacing w:line="240" w:lineRule="exact" w:before="248" w:after="0"/>
        <w:ind w:left="148" w:right="400" w:firstLine="3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person body detection in videos is based on Felzenszwalb's object detector [11] and mean shift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tracking [12]. We first use the object detector to find candidate person regions from each frame image. Since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there are many false alarms and miss-detections, a sliding window based method is used to discard false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alarms and track person area for missing detections. Two detections are viewed as similar if the bounding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boxes overlap exceeds 40%. The window size is empirically set as 15 frames and the threshold is half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windows size. Then, the miss detections are filled with tracking from previous frames using mean shift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algorithm. The person detection provides the bonding boxes of person location at each frame. </w:t>
      </w:r>
    </w:p>
    <w:p>
      <w:pPr>
        <w:autoSpaceDN w:val="0"/>
        <w:autoSpaceDE w:val="0"/>
        <w:widowControl/>
        <w:spacing w:line="230" w:lineRule="auto" w:before="250" w:after="0"/>
        <w:ind w:left="14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3.2. Features extraction </w:t>
      </w:r>
    </w:p>
    <w:p>
      <w:pPr>
        <w:autoSpaceDN w:val="0"/>
        <w:autoSpaceDE w:val="0"/>
        <w:widowControl/>
        <w:spacing w:line="240" w:lineRule="exact" w:before="248" w:after="0"/>
        <w:ind w:left="386" w:right="402" w:hanging="238"/>
        <w:jc w:val="both"/>
      </w:pP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 Person-centric feature extraction.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We use the spatio-temporal interest point detector proposed by Dollar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[13] to capture the spatially and temporally interesting movements. After extracting the person-centric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features from a video clip, we describe each interest point with HOG (Histograms of oriented Gradients)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[14] descriptor. </w:t>
      </w:r>
    </w:p>
    <w:p>
      <w:pPr>
        <w:autoSpaceDN w:val="0"/>
        <w:autoSpaceDE w:val="0"/>
        <w:widowControl/>
        <w:spacing w:line="240" w:lineRule="exact" w:before="12" w:after="0"/>
        <w:ind w:left="386" w:right="432" w:hanging="238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 Background feature extraction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The non-person region is seen as background region. In order to capture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color, shape and local features of the background, we extract color histograms for color features, Gist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descriptors [15] for shape features and SIFT descriptors [16] from key frames for static features. </w:t>
      </w:r>
    </w:p>
    <w:p>
      <w:pPr>
        <w:autoSpaceDN w:val="0"/>
        <w:autoSpaceDE w:val="0"/>
        <w:widowControl/>
        <w:spacing w:line="230" w:lineRule="auto" w:before="250" w:after="0"/>
        <w:ind w:left="14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3.3. Bag-of-features video representation </w:t>
      </w:r>
    </w:p>
    <w:p>
      <w:pPr>
        <w:autoSpaceDN w:val="0"/>
        <w:autoSpaceDE w:val="0"/>
        <w:widowControl/>
        <w:spacing w:line="240" w:lineRule="exact" w:before="248" w:after="0"/>
        <w:ind w:left="148" w:right="398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Bag-of-feature based video representation has approved to be effective for action recognition in unstrained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videos [7]. The bag-of-feature model represents a video clip as a vector over a feature vocabulary or “visual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codebook”. The “visual codebook” is constructed by clustering visual features detected from all videos.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center of each cluster is defined to be a codeword or visual word in the codebook. Thus, each detected feature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a video clip can be assigned to a unique cluster having the nearest distance.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 bin of bag-of-feature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number of features that be assigned to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 cluster in the video. </w:t>
      </w:r>
    </w:p>
    <w:p>
      <w:pPr>
        <w:autoSpaceDN w:val="0"/>
        <w:autoSpaceDE w:val="0"/>
        <w:widowControl/>
        <w:spacing w:line="240" w:lineRule="auto" w:before="250" w:after="0"/>
        <w:ind w:left="14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4. Learning of Action-scene Relationship </w:t>
      </w:r>
    </w:p>
    <w:p>
      <w:pPr>
        <w:autoSpaceDN w:val="0"/>
        <w:autoSpaceDE w:val="0"/>
        <w:widowControl/>
        <w:spacing w:line="240" w:lineRule="exact" w:before="240" w:after="0"/>
        <w:ind w:left="148" w:right="402" w:firstLine="3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detector based context learning needs to know the prior knowledge about scene categories which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usually dependent on the dataset. Therefore, the detector-based method is usually inflexible to the general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datasets, as well as the unstable performance of detectors is prone to affect the accuracy. In this paper, we aim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identify the action class in a video from scene features with less prior knowledge. Compared with scene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categories occur in the dataset, the approximate number of them is easier to get. </w:t>
      </w:r>
    </w:p>
    <w:p>
      <w:pPr>
        <w:autoSpaceDN w:val="0"/>
        <w:autoSpaceDE w:val="0"/>
        <w:widowControl/>
        <w:spacing w:line="226" w:lineRule="exact" w:before="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According to the relation between videos, actions, scenes and visual words, we naturally deduce a </w:t>
      </w:r>
    </w:p>
    <w:p>
      <w:pPr>
        <w:sectPr>
          <w:pgSz w:w="10885" w:h="14854"/>
          <w:pgMar w:top="368" w:right="532" w:bottom="1240" w:left="908" w:header="720" w:footer="720" w:gutter="0"/>
          <w:cols w:space="720" w:num="1" w:equalWidth="0">
            <w:col w:w="9446" w:space="0"/>
            <w:col w:w="941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6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114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Yifei Zhang et al. /  AASRI Procedia  6 ( 2014 )  111 – 117 </w:t>
      </w:r>
    </w:p>
    <w:p>
      <w:pPr>
        <w:autoSpaceDN w:val="0"/>
        <w:autoSpaceDE w:val="0"/>
        <w:widowControl/>
        <w:spacing w:line="226" w:lineRule="exact" w:before="40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generative probabilistic model to model the contextual cues between them. In the action-scene model, each </w:t>
      </w:r>
    </w:p>
    <w:p>
      <w:pPr>
        <w:autoSpaceDN w:val="0"/>
        <w:autoSpaceDE w:val="0"/>
        <w:widowControl/>
        <w:spacing w:line="226" w:lineRule="exact" w:before="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video can be seen as a mixture of action categories, where each action is a probability distribution over scenes </w:t>
      </w:r>
    </w:p>
    <w:p>
      <w:pPr>
        <w:autoSpaceDN w:val="0"/>
        <w:autoSpaceDE w:val="0"/>
        <w:widowControl/>
        <w:spacing w:line="226" w:lineRule="exact" w:before="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each scene is associated with a distribution over visual words. Each video clip is looked as a distribution </w:t>
      </w:r>
    </w:p>
    <w:p>
      <w:pPr>
        <w:autoSpaceDN w:val="0"/>
        <w:autoSpaceDE w:val="0"/>
        <w:widowControl/>
        <w:spacing w:line="226" w:lineRule="exact" w:before="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actions, and each action is a distribution of visual word. The action-scene model discovers not only which </w:t>
      </w:r>
    </w:p>
    <w:p>
      <w:pPr>
        <w:autoSpaceDN w:val="0"/>
        <w:autoSpaceDE w:val="0"/>
        <w:widowControl/>
        <w:spacing w:line="226" w:lineRule="exact" w:before="14" w:after="0"/>
        <w:ind w:left="2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action happens in a video, but also which scene is associated with the action. </w:t>
      </w:r>
    </w:p>
    <w:p>
      <w:pPr>
        <w:autoSpaceDN w:val="0"/>
        <w:autoSpaceDE w:val="0"/>
        <w:widowControl/>
        <w:spacing w:line="230" w:lineRule="exact" w:before="10" w:after="0"/>
        <w:ind w:left="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Suppose we have a collection of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V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video clips, each video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v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represented as a set of visual words. Each </w:t>
      </w:r>
    </w:p>
    <w:p>
      <w:pPr>
        <w:autoSpaceDN w:val="0"/>
        <w:autoSpaceDE w:val="0"/>
        <w:widowControl/>
        <w:spacing w:line="230" w:lineRule="exact" w:before="1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word belongs to the visual codebook including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W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unique visual words. Assume we have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K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action categories, </w:t>
      </w:r>
    </w:p>
    <w:p>
      <w:pPr>
        <w:autoSpaceDN w:val="0"/>
        <w:tabs>
          <w:tab w:pos="528" w:val="left"/>
        </w:tabs>
        <w:autoSpaceDE w:val="0"/>
        <w:widowControl/>
        <w:spacing w:line="246" w:lineRule="exact" w:before="0" w:after="0"/>
        <w:ind w:left="290" w:right="1152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scene categories. Now we can describe the process generating each video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v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as: </w:t>
      </w:r>
      <w:r>
        <w:br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1) For each clip v, there is a multinomial distribution over K action categories �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v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~ Dirichlet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40" w:lineRule="exact" w:before="0" w:after="0"/>
        <w:ind w:left="528" w:right="2736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2) For each visual word vi of the clip v: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a) Choose an action category z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 xml:space="preserve">vi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according to Multinomial distribution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v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. </w:t>
      </w:r>
    </w:p>
    <w:p>
      <w:pPr>
        <w:autoSpaceDN w:val="0"/>
        <w:tabs>
          <w:tab w:pos="528" w:val="left"/>
        </w:tabs>
        <w:autoSpaceDE w:val="0"/>
        <w:widowControl/>
        <w:spacing w:line="240" w:lineRule="exact" w:before="26" w:after="0"/>
        <w:ind w:left="290" w:right="144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b) Choose a scene s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 xml:space="preserve">vi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from p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s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vi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|z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vi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, �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z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, a multinomial probability conditioned on the action z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 xml:space="preserve">vi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and �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z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. Here,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 xml:space="preserve">z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is a multinomial distribution of action over scene s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 xml:space="preserve">vi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with �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z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~ Dirichlet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. </w:t>
      </w:r>
    </w:p>
    <w:p>
      <w:pPr>
        <w:autoSpaceDN w:val="0"/>
        <w:tabs>
          <w:tab w:pos="528" w:val="left"/>
        </w:tabs>
        <w:autoSpaceDE w:val="0"/>
        <w:widowControl/>
        <w:spacing w:line="240" w:lineRule="exact" w:before="26" w:after="0"/>
        <w:ind w:left="290" w:right="144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c) Choose a visual word w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 xml:space="preserve">vi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from p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w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vi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|s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vi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�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, a multinomial probability conditioned on the scene s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 xml:space="preserve">vi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and �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s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.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And �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 xml:space="preserve">s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is the distribution of scene over visual words with �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s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~ Dirichlet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). </w:t>
      </w:r>
    </w:p>
    <w:p>
      <w:pPr>
        <w:autoSpaceDN w:val="0"/>
        <w:tabs>
          <w:tab w:pos="528" w:val="left"/>
        </w:tabs>
        <w:autoSpaceDE w:val="0"/>
        <w:widowControl/>
        <w:spacing w:line="240" w:lineRule="exact" w:before="26" w:after="190"/>
        <w:ind w:left="29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Here,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�, 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are multinomial distribution associated with video clip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v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scene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action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z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Under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generative processing, the probability of video corpus on visual word set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w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conditioned on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�, 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8.0" w:type="dxa"/>
      </w:tblPr>
      <w:tblGrid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>
        <w:trPr>
          <w:trHeight w:hRule="exact" w:val="680"/>
        </w:trPr>
        <w:tc>
          <w:tcPr>
            <w:tcW w:type="dxa" w:w="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2"/>
              </w:rPr>
              <w:t>P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(</w:t>
            </w:r>
          </w:p>
        </w:tc>
        <w:tc>
          <w:tcPr>
            <w:tcW w:type="dxa" w:w="17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2"/>
              </w:rPr>
              <w:t xml:space="preserve">w z 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, , , ,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 � � �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w w:val="98.12769523033728"/>
                <w:rFonts w:ascii="TimesNewRomanPS" w:hAnsi="TimesNewRomanPS" w:eastAsia="TimesNewRomanPS"/>
                <w:b/>
                <w:i/>
                <w:color w:val="000000"/>
                <w:sz w:val="13"/>
              </w:rPr>
              <w:t>N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3"/>
              </w:rPr>
              <w:t>�</w:t>
            </w:r>
          </w:p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98.12769523033728"/>
                <w:rFonts w:ascii="TimesNewRomanPS" w:hAnsi="TimesNewRomanPS" w:eastAsia="TimesNewRomanPS"/>
                <w:b/>
                <w:i/>
                <w:color w:val="000000"/>
                <w:sz w:val="13"/>
              </w:rPr>
              <w:t>i</w:t>
            </w:r>
            <w:r>
              <w:rPr>
                <w:w w:val="98.12769523033728"/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98.1276952303372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41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2"/>
              </w:rPr>
              <w:t>P w</w:t>
            </w:r>
          </w:p>
        </w:tc>
        <w:tc>
          <w:tcPr>
            <w:tcW w:type="dxa" w:w="1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0" w:after="0"/>
              <w:ind w:left="0" w:right="0" w:firstLine="0"/>
              <w:jc w:val="center"/>
            </w:pPr>
            <w:r>
              <w:rPr>
                <w:w w:val="98.12769523033728"/>
                <w:rFonts w:ascii="TimesNewRomanPS" w:hAnsi="TimesNewRomanPS" w:eastAsia="TimesNewRomanPS"/>
                <w:b/>
                <w:i/>
                <w:color w:val="000000"/>
                <w:sz w:val="13"/>
              </w:rPr>
              <w:t>vi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|</w:t>
            </w:r>
          </w:p>
        </w:tc>
        <w:tc>
          <w:tcPr>
            <w:tcW w:type="dxa" w:w="19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2"/>
              </w:rPr>
              <w:t>S</w:t>
            </w:r>
          </w:p>
        </w:tc>
        <w:tc>
          <w:tcPr>
            <w:tcW w:type="dxa" w:w="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0" w:after="0"/>
              <w:ind w:left="0" w:right="0" w:firstLine="0"/>
              <w:jc w:val="center"/>
            </w:pPr>
            <w:r>
              <w:rPr>
                <w:w w:val="98.12769523033728"/>
                <w:rFonts w:ascii="TimesNewRomanPS" w:hAnsi="TimesNewRomanPS" w:eastAsia="TimesNewRomanPS"/>
                <w:b/>
                <w:i/>
                <w:color w:val="000000"/>
                <w:sz w:val="13"/>
              </w:rPr>
              <w:t>vi</w:t>
            </w:r>
          </w:p>
        </w:tc>
        <w:tc>
          <w:tcPr>
            <w:tcW w:type="dxa" w:w="37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98.12769523033728"/>
                <w:rFonts w:ascii="TimesNewRomanPS" w:hAnsi="TimesNewRomanPS" w:eastAsia="TimesNewRomanPS"/>
                <w:b/>
                <w:i/>
                <w:color w:val="000000"/>
                <w:sz w:val="13"/>
              </w:rPr>
              <w:t xml:space="preserve">s </w:t>
            </w:r>
            <w:r>
              <w:rPr>
                <w:w w:val="101.24444961547852"/>
                <w:rFonts w:ascii="TimesNewRomanPS" w:hAnsi="TimesNewRomanPS" w:eastAsia="TimesNewRomanPS"/>
                <w:b/>
                <w:i/>
                <w:color w:val="000000"/>
                <w:sz w:val="9"/>
              </w:rPr>
              <w:t>vi</w:t>
            </w:r>
          </w:p>
        </w:tc>
        <w:tc>
          <w:tcPr>
            <w:tcW w:type="dxa" w:w="58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) (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98.12769523033728"/>
                <w:rFonts w:ascii="TimesNewRomanPS" w:hAnsi="TimesNewRomanPS" w:eastAsia="TimesNewRomanPS"/>
                <w:b/>
                <w:i/>
                <w:color w:val="000000"/>
                <w:sz w:val="13"/>
              </w:rPr>
              <w:t xml:space="preserve">s </w:t>
            </w:r>
            <w:r>
              <w:rPr>
                <w:w w:val="101.24444961547852"/>
                <w:rFonts w:ascii="TimesNewRomanPS" w:hAnsi="TimesNewRomanPS" w:eastAsia="TimesNewRomanPS"/>
                <w:b/>
                <w:i/>
                <w:color w:val="000000"/>
                <w:sz w:val="9"/>
              </w:rPr>
              <w:t>vi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|</w:t>
            </w:r>
          </w:p>
        </w:tc>
        <w:tc>
          <w:tcPr>
            <w:tcW w:type="dxa" w:w="2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90" w:after="0"/>
              <w:ind w:left="2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2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8" w:after="0"/>
              <w:ind w:left="0" w:right="12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(1)</w:t>
            </w:r>
          </w:p>
        </w:tc>
      </w:tr>
      <w:tr>
        <w:trPr>
          <w:trHeight w:hRule="exact" w:val="660"/>
        </w:trPr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0" w:firstLine="0"/>
              <w:jc w:val="center"/>
            </w:pPr>
            <w:r>
              <w:rPr>
                <w:w w:val="98.12769523033728"/>
                <w:rFonts w:ascii="TimesNewRomanPS" w:hAnsi="TimesNewRomanPS" w:eastAsia="TimesNewRomanPS"/>
                <w:b/>
                <w:i/>
                <w:color w:val="000000"/>
                <w:sz w:val="13"/>
              </w:rPr>
              <w:t>N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3"/>
              </w:rPr>
              <w:t>�</w:t>
            </w:r>
          </w:p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w w:val="98.12769523033728"/>
                <w:rFonts w:ascii="TimesNewRomanPS" w:hAnsi="TimesNewRomanPS" w:eastAsia="TimesNewRomanPS"/>
                <w:b/>
                <w:i/>
                <w:color w:val="000000"/>
                <w:sz w:val="13"/>
              </w:rPr>
              <w:t>i</w:t>
            </w:r>
            <w:r>
              <w:rPr>
                <w:w w:val="98.12769523033728"/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98.1276952303372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2"/>
              </w:rPr>
              <w:t>P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(</w:t>
            </w:r>
          </w:p>
        </w:tc>
        <w:tc>
          <w:tcPr>
            <w:tcW w:type="dxa" w:w="1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2"/>
              </w:rPr>
              <w:t>w</w:t>
            </w:r>
          </w:p>
        </w:tc>
        <w:tc>
          <w:tcPr>
            <w:tcW w:type="dxa" w:w="1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8" w:after="0"/>
              <w:ind w:left="0" w:right="0" w:firstLine="0"/>
              <w:jc w:val="center"/>
            </w:pPr>
            <w:r>
              <w:rPr>
                <w:w w:val="98.12769523033728"/>
                <w:rFonts w:ascii="TimesNewRomanPS" w:hAnsi="TimesNewRomanPS" w:eastAsia="TimesNewRomanPS"/>
                <w:b/>
                <w:i/>
                <w:color w:val="000000"/>
                <w:sz w:val="13"/>
              </w:rPr>
              <w:t>vi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|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2"/>
              </w:rPr>
              <w:t>z</w:t>
            </w:r>
          </w:p>
        </w:tc>
        <w:tc>
          <w:tcPr>
            <w:tcW w:type="dxa" w:w="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8" w:after="0"/>
              <w:ind w:left="0" w:right="0" w:firstLine="0"/>
              <w:jc w:val="center"/>
            </w:pPr>
            <w:r>
              <w:rPr>
                <w:w w:val="98.12769523033728"/>
                <w:rFonts w:ascii="TimesNewRomanPS" w:hAnsi="TimesNewRomanPS" w:eastAsia="TimesNewRomanPS"/>
                <w:b/>
                <w:i/>
                <w:color w:val="000000"/>
                <w:sz w:val="13"/>
              </w:rPr>
              <w:t>vi</w:t>
            </w:r>
          </w:p>
        </w:tc>
        <w:tc>
          <w:tcPr>
            <w:tcW w:type="dxa" w:w="30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98.12769523033728"/>
                <w:rFonts w:ascii="TimesNewRomanPS" w:hAnsi="TimesNewRomanPS" w:eastAsia="TimesNewRomanPS"/>
                <w:b/>
                <w:i/>
                <w:color w:val="000000"/>
                <w:sz w:val="13"/>
              </w:rPr>
              <w:t>z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2" w:after="0"/>
              <w:ind w:left="0" w:right="0" w:firstLine="0"/>
              <w:jc w:val="center"/>
            </w:pPr>
            <w:r>
              <w:rPr>
                <w:w w:val="101.24444961547852"/>
                <w:rFonts w:ascii="TimesNewRomanPS" w:hAnsi="TimesNewRomanPS" w:eastAsia="TimesNewRomanPS"/>
                <w:b/>
                <w:i/>
                <w:color w:val="000000"/>
                <w:sz w:val="9"/>
              </w:rPr>
              <w:t>vi</w:t>
            </w:r>
          </w:p>
        </w:tc>
        <w:tc>
          <w:tcPr>
            <w:tcW w:type="dxa" w:w="5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) (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98.12769523033728"/>
                <w:rFonts w:ascii="TimesNewRomanPS" w:hAnsi="TimesNewRomanPS" w:eastAsia="TimesNewRomanPS"/>
                <w:b/>
                <w:i/>
                <w:color w:val="000000"/>
                <w:sz w:val="13"/>
              </w:rPr>
              <w:t>z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2" w:after="0"/>
              <w:ind w:left="0" w:right="0" w:firstLine="0"/>
              <w:jc w:val="center"/>
            </w:pPr>
            <w:r>
              <w:rPr>
                <w:w w:val="101.24444961547852"/>
                <w:rFonts w:ascii="TimesNewRomanPS" w:hAnsi="TimesNewRomanPS" w:eastAsia="TimesNewRomanPS"/>
                <w:b/>
                <w:i/>
                <w:color w:val="000000"/>
                <w:sz w:val="9"/>
              </w:rPr>
              <w:t>vi</w:t>
            </w:r>
          </w:p>
        </w:tc>
        <w:tc>
          <w:tcPr>
            <w:tcW w:type="dxa" w:w="2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02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| )</w:t>
            </w:r>
          </w:p>
        </w:tc>
        <w:tc>
          <w:tcPr>
            <w:tcW w:type="dxa" w:w="379"/>
            <w:vMerge/>
            <w:tcBorders/>
          </w:tcPr>
          <w:p/>
        </w:tc>
      </w:tr>
      <w:tr>
        <w:trPr>
          <w:trHeight w:hRule="exact" w:val="694"/>
        </w:trPr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379"/>
            <w:vMerge/>
            <w:tcBorders/>
          </w:tcPr>
          <w:p/>
        </w:tc>
        <w:tc>
          <w:tcPr>
            <w:tcW w:type="dxa" w:w="5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6" w:val="left"/>
              </w:tabs>
              <w:autoSpaceDE w:val="0"/>
              <w:widowControl/>
              <w:spacing w:line="259" w:lineRule="auto" w:before="40" w:after="0"/>
              <w:ind w:left="108" w:right="0" w:firstLine="0"/>
              <w:jc w:val="left"/>
            </w:pPr>
            <w:r>
              <w:rPr>
                <w:w w:val="98.12769523033728"/>
                <w:rFonts w:ascii="TimesNewRomanPS" w:hAnsi="TimesNewRomanPS" w:eastAsia="TimesNewRomanPS"/>
                <w:b/>
                <w:i/>
                <w:color w:val="000000"/>
                <w:sz w:val="13"/>
              </w:rPr>
              <w:t xml:space="preserve">V </w:t>
            </w:r>
            <w:r>
              <w:tab/>
            </w:r>
            <w:r>
              <w:rPr>
                <w:w w:val="98.12769523033728"/>
                <w:rFonts w:ascii="TimesNewRomanPS" w:hAnsi="TimesNewRomanPS" w:eastAsia="TimesNewRomanPS"/>
                <w:b/>
                <w:i/>
                <w:color w:val="000000"/>
                <w:sz w:val="13"/>
              </w:rPr>
              <w:t>N</w:t>
            </w:r>
          </w:p>
          <w:p>
            <w:pPr>
              <w:autoSpaceDN w:val="0"/>
              <w:autoSpaceDE w:val="0"/>
              <w:widowControl/>
              <w:spacing w:line="402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33"/>
              </w:rPr>
              <w:t>��</w:t>
            </w:r>
          </w:p>
          <w:p>
            <w:pPr>
              <w:autoSpaceDN w:val="0"/>
              <w:tabs>
                <w:tab w:pos="140" w:val="left"/>
                <w:tab w:pos="206" w:val="left"/>
                <w:tab w:pos="380" w:val="left"/>
                <w:tab w:pos="430" w:val="left"/>
                <w:tab w:pos="496" w:val="left"/>
              </w:tabs>
              <w:autoSpaceDE w:val="0"/>
              <w:widowControl/>
              <w:spacing w:line="144" w:lineRule="exact" w:before="0" w:after="0"/>
              <w:ind w:left="72" w:right="0" w:firstLine="0"/>
              <w:jc w:val="left"/>
            </w:pPr>
            <w:r>
              <w:rPr>
                <w:w w:val="98.12769523033728"/>
                <w:rFonts w:ascii="TimesNewRomanPS" w:hAnsi="TimesNewRomanPS" w:eastAsia="TimesNewRomanPS"/>
                <w:b/>
                <w:i/>
                <w:color w:val="000000"/>
                <w:sz w:val="13"/>
              </w:rPr>
              <w:t>v</w:t>
            </w:r>
            <w:r>
              <w:rPr>
                <w:w w:val="98.12769523033728"/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98.1276952303372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1 </w:t>
            </w:r>
            <w:r>
              <w:tab/>
            </w:r>
            <w:r>
              <w:rPr>
                <w:w w:val="98.12769523033728"/>
                <w:rFonts w:ascii="TimesNewRomanPS" w:hAnsi="TimesNewRomanPS" w:eastAsia="TimesNewRomanPS"/>
                <w:b/>
                <w:i/>
                <w:color w:val="000000"/>
                <w:sz w:val="13"/>
              </w:rPr>
              <w:t>i</w:t>
            </w:r>
            <w:r>
              <w:rPr>
                <w:w w:val="98.12769523033728"/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98.1276952303372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2"/>
              </w:rPr>
              <w:t>P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(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2"/>
              </w:rPr>
              <w:t>z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8" w:after="0"/>
              <w:ind w:left="0" w:right="0" w:firstLine="0"/>
              <w:jc w:val="center"/>
            </w:pPr>
            <w:r>
              <w:rPr>
                <w:w w:val="98.12769523033728"/>
                <w:rFonts w:ascii="TimesNewRomanPS" w:hAnsi="TimesNewRomanPS" w:eastAsia="TimesNewRomanPS"/>
                <w:b/>
                <w:i/>
                <w:color w:val="000000"/>
                <w:sz w:val="13"/>
              </w:rPr>
              <w:t>vi</w:t>
            </w:r>
          </w:p>
        </w:tc>
        <w:tc>
          <w:tcPr>
            <w:tcW w:type="dxa" w:w="92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4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|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98.12769523033728"/>
                <w:rFonts w:ascii="TimesNewRomanPS" w:hAnsi="TimesNewRomanPS" w:eastAsia="TimesNewRomanPS"/>
                <w:b/>
                <w:i/>
                <w:color w:val="000000"/>
                <w:sz w:val="13"/>
              </w:rPr>
              <w:t>v</w:t>
            </w:r>
          </w:p>
        </w:tc>
        <w:tc>
          <w:tcPr>
            <w:tcW w:type="dxa" w:w="5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) (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98.12769523033728"/>
                <w:rFonts w:ascii="TimesNewRomanPS" w:hAnsi="TimesNewRomanPS" w:eastAsia="TimesNewRomanPS"/>
                <w:b/>
                <w:i/>
                <w:color w:val="000000"/>
                <w:sz w:val="13"/>
              </w:rPr>
              <w:t>v</w:t>
            </w:r>
          </w:p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|</w:t>
            </w:r>
          </w:p>
        </w:tc>
        <w:tc>
          <w:tcPr>
            <w:tcW w:type="dxa" w:w="23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68" w:after="0"/>
              <w:ind w:left="2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37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206" w:after="0"/>
        <w:ind w:left="290" w:right="288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action-scene model includes the following parameters: the action distribution of video clip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action-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scene distribution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the scene distribution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the assignments of individual words to action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z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scene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this paper, we use Gibbs sampling [17] to evaluate the posterior distribution on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z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scene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Then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�, 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can be inferred from the results of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z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28" w:val="left"/>
        </w:tabs>
        <w:autoSpaceDE w:val="0"/>
        <w:widowControl/>
        <w:spacing w:line="240" w:lineRule="exact" w:before="26" w:after="180"/>
        <w:ind w:left="29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Given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z, s, w, �, 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computing the posterior distributions on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�, 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straightforward. Using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hypothesis that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Dirichlet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conjugate to the </w:t>
      </w:r>
      <w:r>
        <w:rPr>
          <w:rFonts w:ascii="TimesNewRomanPS" w:hAnsi="TimesNewRomanPS" w:eastAsia="TimesNewRomanPS"/>
          <w:b/>
          <w:i/>
          <w:color w:val="000000"/>
          <w:sz w:val="20"/>
        </w:rPr>
        <w:t>multinomial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we can estimate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�, 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with: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</w:tblGrid>
      <w:tr>
        <w:trPr>
          <w:trHeight w:hRule="exact" w:val="402"/>
        </w:trPr>
        <w:tc>
          <w:tcPr>
            <w:tcW w:type="dxa" w:w="960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4" w:after="0"/>
              <w:ind w:left="0" w:right="94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42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698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2" w:after="0"/>
              <w:ind w:left="0" w:right="68" w:firstLine="0"/>
              <w:jc w:val="righ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4"/>
              </w:rPr>
              <w:t xml:space="preserve">C 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 xml:space="preserve">zv 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>ZV</w:t>
            </w:r>
          </w:p>
        </w:tc>
        <w:tc>
          <w:tcPr>
            <w:tcW w:type="dxa" w:w="740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7"/>
              <w:gridCol w:w="247"/>
              <w:gridCol w:w="247"/>
            </w:tblGrid>
            <w:tr>
              <w:trPr>
                <w:trHeight w:hRule="exact" w:val="414"/>
              </w:trPr>
              <w:tc>
                <w:tcPr>
                  <w:tcW w:type="dxa" w:w="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�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30" w:after="0"/>
                    <w:ind w:left="14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�</w:t>
                  </w:r>
                </w:p>
              </w:tc>
              <w:tc>
                <w:tcPr>
                  <w:tcW w:type="dxa" w:w="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162" w:after="0"/>
                    <w:ind w:left="0" w:right="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,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0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44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696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6" w:after="0"/>
              <w:ind w:left="0" w:right="64" w:firstLine="0"/>
              <w:jc w:val="righ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4"/>
              </w:rPr>
              <w:t xml:space="preserve">C 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 xml:space="preserve">ws 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>WS</w:t>
            </w:r>
          </w:p>
        </w:tc>
        <w:tc>
          <w:tcPr>
            <w:tcW w:type="dxa" w:w="720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0"/>
              <w:gridCol w:w="240"/>
              <w:gridCol w:w="240"/>
            </w:tblGrid>
            <w:tr>
              <w:trPr>
                <w:trHeight w:hRule="exact" w:val="430"/>
              </w:trPr>
              <w:tc>
                <w:tcPr>
                  <w:tcW w:type="dxa" w:w="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34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�</w:t>
                  </w:r>
                </w:p>
              </w:tc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34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�</w:t>
                  </w:r>
                </w:p>
              </w:tc>
              <w:tc>
                <w:tcPr>
                  <w:tcW w:type="dxa" w:w="1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72" w:lineRule="exact" w:before="0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400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56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664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2" w:after="0"/>
              <w:ind w:left="0" w:right="64" w:firstLine="0"/>
              <w:jc w:val="righ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4"/>
              </w:rPr>
              <w:t xml:space="preserve">C 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 xml:space="preserve">sz 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>SZ</w:t>
            </w:r>
          </w:p>
        </w:tc>
        <w:tc>
          <w:tcPr>
            <w:tcW w:type="dxa" w:w="160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560"/>
            <w:gridSpan w:val="2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6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460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0" w:right="12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(2)</w:t>
            </w:r>
          </w:p>
        </w:tc>
      </w:tr>
      <w:tr>
        <w:trPr>
          <w:trHeight w:hRule="exact" w:val="478"/>
        </w:trPr>
        <w:tc>
          <w:tcPr>
            <w:tcW w:type="dxa" w:w="960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42" w:firstLine="0"/>
              <w:jc w:val="righ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>zv</w:t>
            </w:r>
          </w:p>
        </w:tc>
        <w:tc>
          <w:tcPr>
            <w:tcW w:type="dxa" w:w="242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98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.9999999999998863" w:type="dxa"/>
            </w:tblPr>
            <w:tblGrid>
              <w:gridCol w:w="233"/>
              <w:gridCol w:w="233"/>
              <w:gridCol w:w="233"/>
            </w:tblGrid>
            <w:tr>
              <w:trPr>
                <w:trHeight w:hRule="exact" w:val="208"/>
              </w:trPr>
              <w:tc>
                <w:tcPr>
                  <w:tcW w:type="dxa" w:w="2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4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36"/>
                    </w:rPr>
                    <w:t>�</w:t>
                  </w:r>
                </w:p>
              </w:tc>
              <w:tc>
                <w:tcPr>
                  <w:tcW w:type="dxa" w:w="1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8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/>
                      <w:color w:val="000000"/>
                      <w:sz w:val="24"/>
                    </w:rPr>
                    <w:t>C</w:t>
                  </w:r>
                </w:p>
              </w:tc>
              <w:tc>
                <w:tcPr>
                  <w:tcW w:type="dxa" w:w="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6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/>
                      <w:color w:val="000000"/>
                      <w:sz w:val="14"/>
                    </w:rPr>
                    <w:t>ZV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233"/>
                  <w:vMerge/>
                  <w:tcBorders/>
                </w:tcPr>
                <w:p/>
              </w:tc>
              <w:tc>
                <w:tcPr>
                  <w:tcW w:type="dxa" w:w="233"/>
                  <w:vMerge/>
                  <w:tcBorders/>
                </w:tcPr>
                <w:p/>
              </w:tc>
              <w:tc>
                <w:tcPr>
                  <w:tcW w:type="dxa" w:w="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/>
                      <w:color w:val="000000"/>
                      <w:sz w:val="14"/>
                    </w:rPr>
                    <w:t>zv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40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4"/>
              </w:rPr>
              <w:t>K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00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6" w:firstLine="0"/>
              <w:jc w:val="righ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>ws</w:t>
            </w:r>
          </w:p>
        </w:tc>
        <w:tc>
          <w:tcPr>
            <w:tcW w:type="dxa" w:w="244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96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3.9999999999997726" w:type="dxa"/>
            </w:tblPr>
            <w:tblGrid>
              <w:gridCol w:w="232"/>
              <w:gridCol w:w="232"/>
              <w:gridCol w:w="232"/>
            </w:tblGrid>
            <w:tr>
              <w:trPr>
                <w:trHeight w:hRule="exact" w:val="208"/>
              </w:trPr>
              <w:tc>
                <w:tcPr>
                  <w:tcW w:type="dxa" w:w="2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4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36"/>
                    </w:rPr>
                    <w:t>�</w:t>
                  </w:r>
                </w:p>
              </w:tc>
              <w:tc>
                <w:tcPr>
                  <w:tcW w:type="dxa" w:w="1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8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/>
                      <w:color w:val="000000"/>
                      <w:sz w:val="24"/>
                    </w:rPr>
                    <w:t>C</w:t>
                  </w:r>
                </w:p>
              </w:tc>
              <w:tc>
                <w:tcPr>
                  <w:tcW w:type="dxa" w:w="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6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/>
                      <w:color w:val="000000"/>
                      <w:sz w:val="14"/>
                    </w:rPr>
                    <w:t>WS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232"/>
                  <w:vMerge/>
                  <w:tcBorders/>
                </w:tcPr>
                <w:p/>
              </w:tc>
              <w:tc>
                <w:tcPr>
                  <w:tcW w:type="dxa" w:w="232"/>
                  <w:vMerge/>
                  <w:tcBorders/>
                </w:tcPr>
                <w:p/>
              </w:tc>
              <w:tc>
                <w:tcPr>
                  <w:tcW w:type="dxa" w:w="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/>
                      <w:color w:val="000000"/>
                      <w:sz w:val="14"/>
                    </w:rPr>
                    <w:t>ws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0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4"/>
              </w:rPr>
              <w:t>W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00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28" w:firstLine="0"/>
              <w:jc w:val="righ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>sz</w:t>
            </w:r>
          </w:p>
        </w:tc>
        <w:tc>
          <w:tcPr>
            <w:tcW w:type="dxa" w:w="256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64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.9999999999997726" w:type="dxa"/>
            </w:tblPr>
            <w:tblGrid>
              <w:gridCol w:w="221"/>
              <w:gridCol w:w="221"/>
              <w:gridCol w:w="221"/>
            </w:tblGrid>
            <w:tr>
              <w:trPr>
                <w:trHeight w:hRule="exact" w:val="208"/>
              </w:trPr>
              <w:tc>
                <w:tcPr>
                  <w:tcW w:type="dxa" w:w="2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4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36"/>
                    </w:rPr>
                    <w:t>�</w:t>
                  </w:r>
                </w:p>
              </w:tc>
              <w:tc>
                <w:tcPr>
                  <w:tcW w:type="dxa" w:w="1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8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/>
                      <w:color w:val="000000"/>
                      <w:sz w:val="24"/>
                    </w:rPr>
                    <w:t>C</w:t>
                  </w:r>
                </w:p>
              </w:tc>
              <w:tc>
                <w:tcPr>
                  <w:tcW w:type="dxa" w:w="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6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/>
                      <w:color w:val="000000"/>
                      <w:sz w:val="14"/>
                    </w:rPr>
                    <w:t>SZ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221"/>
                  <w:vMerge/>
                  <w:tcBorders/>
                </w:tcPr>
                <w:p/>
              </w:tc>
              <w:tc>
                <w:tcPr>
                  <w:tcW w:type="dxa" w:w="221"/>
                  <w:vMerge/>
                  <w:tcBorders/>
                </w:tcPr>
                <w:p/>
              </w:tc>
              <w:tc>
                <w:tcPr>
                  <w:tcW w:type="dxa" w:w="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/>
                      <w:color w:val="000000"/>
                      <w:sz w:val="14"/>
                    </w:rPr>
                    <w:t>sz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0"/>
            <w:gridSpan w:val="2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480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4"/>
              </w:rPr>
              <w:t>S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460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8"/>
        </w:trPr>
        <w:tc>
          <w:tcPr>
            <w:tcW w:type="dxa" w:w="920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72" w:val="left"/>
              </w:tabs>
              <w:autoSpaceDE w:val="0"/>
              <w:widowControl/>
              <w:spacing w:line="233" w:lineRule="auto" w:before="110" w:after="0"/>
              <w:ind w:left="9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 xml:space="preserve">ZV </w:t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>WS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</w:t>
            </w:r>
          </w:p>
          <w:p>
            <w:pPr>
              <w:autoSpaceDN w:val="0"/>
              <w:autoSpaceDE w:val="0"/>
              <w:widowControl/>
              <w:spacing w:line="230" w:lineRule="exact" w:before="1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been assigned to a scene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s, and </w:t>
            </w:r>
          </w:p>
          <w:p>
            <w:pPr>
              <w:autoSpaceDN w:val="0"/>
              <w:tabs>
                <w:tab w:pos="486" w:val="left"/>
                <w:tab w:pos="668" w:val="left"/>
                <w:tab w:pos="730" w:val="left"/>
              </w:tabs>
              <w:autoSpaceDE w:val="0"/>
              <w:widowControl/>
              <w:spacing w:line="384" w:lineRule="exact" w:before="54" w:after="0"/>
              <w:ind w:left="196" w:right="8064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36"/>
              </w:rPr>
              <w:t>�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 xml:space="preserve">ws </w:t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 xml:space="preserve">WS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>zv</w:t>
            </w:r>
          </w:p>
          <w:p>
            <w:pPr>
              <w:autoSpaceDN w:val="0"/>
              <w:tabs>
                <w:tab w:pos="1180" w:val="left"/>
              </w:tabs>
              <w:autoSpaceDE w:val="0"/>
              <w:widowControl/>
              <w:spacing w:line="354" w:lineRule="exact" w:before="84" w:after="0"/>
              <w:ind w:left="942" w:right="259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6"/>
              </w:rPr>
              <w:t>�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number of the words from video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v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been assigned to an action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z, </w:t>
            </w:r>
          </w:p>
          <w:p>
            <w:pPr>
              <w:autoSpaceDN w:val="0"/>
              <w:tabs>
                <w:tab w:pos="1756" w:val="left"/>
                <w:tab w:pos="2012" w:val="left"/>
                <w:tab w:pos="2816" w:val="left"/>
                <w:tab w:pos="3016" w:val="left"/>
                <w:tab w:pos="3248" w:val="left"/>
                <w:tab w:pos="6592" w:val="left"/>
                <w:tab w:pos="7022" w:val="left"/>
              </w:tabs>
              <w:autoSpaceDE w:val="0"/>
              <w:widowControl/>
              <w:spacing w:line="302" w:lineRule="exact" w:before="0" w:after="0"/>
              <w:ind w:left="155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 xml:space="preserve">sz </w:t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 xml:space="preserve">SZ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respectively denote the total number of words in video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the total number of words </w:t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 xml:space="preserve">sz </w:t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>SZ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the time that a scene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assigned to an action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z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and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6"/>
              </w:rPr>
              <w:t>�</w:t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 xml:space="preserve">ws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is the time that a word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w </w:t>
            </w:r>
          </w:p>
          <w:p>
            <w:pPr>
              <w:autoSpaceDN w:val="0"/>
              <w:tabs>
                <w:tab w:pos="8680" w:val="left"/>
              </w:tabs>
              <w:autoSpaceDE w:val="0"/>
              <w:widowControl/>
              <w:spacing w:line="245" w:lineRule="auto" w:before="0" w:after="0"/>
              <w:ind w:left="8480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 xml:space="preserve">zv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>ZV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0" w:right="1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</w:t>
            </w:r>
          </w:p>
          <w:p>
            <w:pPr>
              <w:autoSpaceDN w:val="0"/>
              <w:autoSpaceDE w:val="0"/>
              <w:widowControl/>
              <w:spacing w:line="230" w:lineRule="exact" w:before="2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assigned to scene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the total number of scenes assigned to action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z.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Then for each word, the basic </w:t>
            </w:r>
          </w:p>
        </w:tc>
      </w:tr>
    </w:tbl>
    <w:p>
      <w:pPr>
        <w:autoSpaceDN w:val="0"/>
        <w:autoSpaceDE w:val="0"/>
        <w:widowControl/>
        <w:spacing w:line="226" w:lineRule="exact" w:before="6" w:after="0"/>
        <w:ind w:left="2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equation for the Gibbs sampler is: </w:t>
      </w:r>
    </w:p>
    <w:p>
      <w:pPr>
        <w:sectPr>
          <w:pgSz w:w="10885" w:h="14854"/>
          <w:pgMar w:top="368" w:right="754" w:bottom="1440" w:left="652" w:header="720" w:footer="720" w:gutter="0"/>
          <w:cols w:space="720" w:num="1" w:equalWidth="0">
            <w:col w:w="9480" w:space="0"/>
            <w:col w:w="9446" w:space="0"/>
            <w:col w:w="941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2.0" w:type="dxa"/>
      </w:tblPr>
      <w:tblGrid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</w:tblGrid>
      <w:tr>
        <w:trPr>
          <w:trHeight w:hRule="exact" w:val="386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8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4"/>
              </w:rPr>
              <w:t>P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4"/>
              </w:rPr>
              <w:t>z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9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>vi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1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4"/>
              </w:rPr>
              <w:t>x s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9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>vi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1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8" w:after="0"/>
              <w:ind w:left="7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4"/>
              </w:rPr>
              <w:t>j w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9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>vi</w:t>
            </w:r>
          </w:p>
        </w:tc>
        <w:tc>
          <w:tcPr>
            <w:tcW w:type="dxa" w:w="486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Yifei Zhang et al. /  AASRI Procedia  6 ( 2014 )  111 – 117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</w:t>
            </w:r>
          </w:p>
        </w:tc>
      </w:tr>
      <w:tr>
        <w:trPr>
          <w:trHeight w:hRule="exact" w:val="694"/>
        </w:trPr>
        <w:tc>
          <w:tcPr>
            <w:tcW w:type="dxa" w:w="411"/>
            <w:vMerge/>
            <w:tcBorders/>
          </w:tcPr>
          <w:p/>
        </w:tc>
        <w:tc>
          <w:tcPr>
            <w:tcW w:type="dxa" w:w="411"/>
            <w:vMerge/>
            <w:tcBorders/>
          </w:tcPr>
          <w:p/>
        </w:tc>
        <w:tc>
          <w:tcPr>
            <w:tcW w:type="dxa" w:w="411"/>
            <w:vMerge/>
            <w:tcBorders/>
          </w:tcPr>
          <w:p/>
        </w:tc>
        <w:tc>
          <w:tcPr>
            <w:tcW w:type="dxa" w:w="411"/>
            <w:vMerge/>
            <w:tcBorders/>
          </w:tcPr>
          <w:p/>
        </w:tc>
        <w:tc>
          <w:tcPr>
            <w:tcW w:type="dxa" w:w="411"/>
            <w:vMerge/>
            <w:tcBorders/>
          </w:tcPr>
          <w:p/>
        </w:tc>
        <w:tc>
          <w:tcPr>
            <w:tcW w:type="dxa" w:w="411"/>
            <w:vMerge/>
            <w:tcBorders/>
          </w:tcPr>
          <w:p/>
        </w:tc>
        <w:tc>
          <w:tcPr>
            <w:tcW w:type="dxa" w:w="411"/>
            <w:vMerge/>
            <w:tcBorders/>
          </w:tcPr>
          <w:p/>
        </w:tc>
        <w:tc>
          <w:tcPr>
            <w:tcW w:type="dxa" w:w="411"/>
            <w:vMerge/>
            <w:tcBorders/>
          </w:tcPr>
          <w:p/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4"/>
              </w:rPr>
              <w:t>m s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9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1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>vi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4"/>
              </w:rPr>
              <w:t>z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9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1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>vi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4"/>
              </w:rPr>
              <w:t>w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1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>vi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,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 �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)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4" w:val="left"/>
                <w:tab w:pos="458" w:val="left"/>
                <w:tab w:pos="790" w:val="left"/>
              </w:tabs>
              <w:autoSpaceDE w:val="0"/>
              <w:widowControl/>
              <w:spacing w:line="336" w:lineRule="exact" w:before="188" w:after="0"/>
              <w:ind w:left="2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 � �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 xml:space="preserve">zv </w:t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 xml:space="preserve">ws </w:t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14"/>
              </w:rPr>
              <w:t>sz</w:t>
            </w:r>
          </w:p>
        </w:tc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12" w:after="0"/>
              <w:ind w:left="0" w:right="26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(3) </w:t>
            </w:r>
          </w:p>
        </w:tc>
      </w:tr>
    </w:tbl>
    <w:p>
      <w:pPr>
        <w:autoSpaceDN w:val="0"/>
        <w:autoSpaceDE w:val="0"/>
        <w:widowControl/>
        <w:spacing w:line="242" w:lineRule="exact" w:before="182" w:after="0"/>
        <w:ind w:left="148" w:right="40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z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vi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=z,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s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vi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=s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represent the assignments of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 word in a video clip to action z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scene 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respectively.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w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vi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=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w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represents the observation that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 word is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w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 word in the codebook, and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z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-vi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s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 xml:space="preserve">-vi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represent 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action and scene assignment not including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 word. Since the assignment of visual words to actions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scenes will be given quickly from equation 3, the recognition processing will be carried out by tracking three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count matrixes </w:t>
      </w:r>
      <w:r>
        <w:rPr>
          <w:w w:val="101.42522065535834"/>
          <w:rFonts w:ascii="TimesNewRomanPS" w:hAnsi="TimesNewRomanPS" w:eastAsia="TimesNewRomanPS"/>
          <w:b/>
          <w:i/>
          <w:color w:val="000000"/>
          <w:sz w:val="23"/>
        </w:rPr>
        <w:t>C</w:t>
      </w:r>
      <w:r>
        <w:rPr>
          <w:w w:val="97.19856807163784"/>
          <w:rFonts w:ascii="TimesNewRomanPS" w:hAnsi="TimesNewRomanPS" w:eastAsia="TimesNewRomanPS"/>
          <w:b/>
          <w:i/>
          <w:color w:val="000000"/>
          <w:sz w:val="14"/>
        </w:rPr>
        <w:t xml:space="preserve">ZV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rPr>
          <w:rFonts w:ascii="TimesNewRomanPS" w:hAnsi="TimesNewRomanPS" w:eastAsia="TimesNewRomanPS"/>
          <w:b/>
          <w:i/>
          <w:color w:val="000000"/>
          <w:sz w:val="24"/>
        </w:rPr>
        <w:t>C</w:t>
      </w:r>
      <w:r>
        <w:rPr>
          <w:rFonts w:ascii="TimesNewRomanPS" w:hAnsi="TimesNewRomanPS" w:eastAsia="TimesNewRomanPS"/>
          <w:b/>
          <w:i/>
          <w:color w:val="000000"/>
          <w:sz w:val="14"/>
        </w:rPr>
        <w:t xml:space="preserve">WS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</w:t>
      </w:r>
      <w:r>
        <w:rPr>
          <w:rFonts w:ascii="TimesNewRomanPS" w:hAnsi="TimesNewRomanPS" w:eastAsia="TimesNewRomanPS"/>
          <w:b/>
          <w:i/>
          <w:color w:val="000000"/>
          <w:sz w:val="24"/>
        </w:rPr>
        <w:t>C</w:t>
      </w:r>
      <w:r>
        <w:rPr>
          <w:rFonts w:ascii="TimesNewRomanPS" w:hAnsi="TimesNewRomanPS" w:eastAsia="TimesNewRomanPS"/>
          <w:b/>
          <w:i/>
          <w:color w:val="000000"/>
          <w:sz w:val="14"/>
        </w:rPr>
        <w:t xml:space="preserve">SZ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38" w:lineRule="exact" w:before="0" w:after="0"/>
        <w:ind w:left="148" w:right="400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training stage, the Gibbs sampling is applied over all the visual words in the training set while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count matrixes will be computed and saved. When classifying a new video clip, the Gibbs sampling is run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visual word in this clip. The assignments of visual words to actions and scenes will be evaluated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equation 3. The count matrices are updated from each assignment. The video clip is classified with a category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index with the largest probability in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v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Since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 xml:space="preserve">v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only draw the index of action category without knowing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actual action class label for the index, an action class label is assigned to the index by using ground truth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labels in the training dataset. For each action index, it is named with the most popular action class label within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videos belongs to this index. </w:t>
      </w:r>
    </w:p>
    <w:p>
      <w:pPr>
        <w:autoSpaceDN w:val="0"/>
        <w:autoSpaceDE w:val="0"/>
        <w:widowControl/>
        <w:spacing w:line="238" w:lineRule="auto" w:before="252" w:after="0"/>
        <w:ind w:left="14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5. Experimental Results </w:t>
      </w:r>
    </w:p>
    <w:p>
      <w:pPr>
        <w:autoSpaceDN w:val="0"/>
        <w:autoSpaceDE w:val="0"/>
        <w:widowControl/>
        <w:spacing w:line="240" w:lineRule="exact" w:before="240" w:after="0"/>
        <w:ind w:left="148" w:right="400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evaluate our approach on the challenging YouTube dataset provided by Liu et al [7] which consists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1168 videos collected by Liu et al. The dataset covers 11 action classes: basketball shooting, biking, diving,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golf swing, horse riding, soccer juggling, swing, tennis swing, trampoline jumping, volleyball spiking,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walking with a dog. Each category of action is performed under several different scenes and divided into 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subsets.</w:t>
      </w:r>
    </w:p>
    <w:p>
      <w:pPr>
        <w:autoSpaceDN w:val="0"/>
        <w:autoSpaceDE w:val="0"/>
        <w:widowControl/>
        <w:spacing w:line="240" w:lineRule="exact" w:before="26" w:after="0"/>
        <w:ind w:left="148" w:right="40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hidden parameter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were estimated based on training set. For all models we fixed the number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actions at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=11 and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set to be the actual number of scene categories in dataset. The other parameters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set as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=50/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�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= 0.3 and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�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= 0.01 from experimental analysis. </w:t>
      </w:r>
    </w:p>
    <w:p>
      <w:pPr>
        <w:autoSpaceDN w:val="0"/>
        <w:autoSpaceDE w:val="0"/>
        <w:widowControl/>
        <w:spacing w:line="238" w:lineRule="exact" w:before="0" w:after="0"/>
        <w:ind w:left="148" w:right="40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compare our action-scene model with LDA[18]. The average performances with two models are shown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Table 1. We see that the proposed method achieve an improvement over all the action categories.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improvement is especially remarkable for the actions that have strong relation with scenes: basketball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(15.13%) and trampoline jump (10.72%). It demonstrates that the scene cues are informative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complementary for identifying the actions in realistic videos. </w:t>
      </w:r>
    </w:p>
    <w:p>
      <w:pPr>
        <w:sectPr>
          <w:pgSz w:w="10885" w:h="14854"/>
          <w:pgMar w:top="368" w:right="532" w:bottom="1440" w:left="908" w:header="720" w:footer="720" w:gutter="0"/>
          <w:cols w:space="720" w:num="1" w:equalWidth="0">
            <w:col w:w="9446" w:space="0"/>
            <w:col w:w="9480" w:space="0"/>
            <w:col w:w="9446" w:space="0"/>
            <w:col w:w="941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38"/>
        <w:gridCol w:w="4738"/>
      </w:tblGrid>
      <w:tr>
        <w:trPr>
          <w:trHeight w:hRule="exact" w:val="240"/>
        </w:trPr>
        <w:tc>
          <w:tcPr>
            <w:tcW w:type="dxa" w:w="17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5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Yifei Zhang et al. /  AASRI Procedia  6 ( 2014 )  111 – 117 </w:t>
            </w:r>
          </w:p>
        </w:tc>
      </w:tr>
    </w:tbl>
    <w:p>
      <w:pPr>
        <w:autoSpaceDN w:val="0"/>
        <w:autoSpaceDE w:val="0"/>
        <w:widowControl/>
        <w:spacing w:line="3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84.0000000000005" w:type="dxa"/>
      </w:tblPr>
      <w:tblGrid>
        <w:gridCol w:w="9477"/>
      </w:tblGrid>
      <w:tr>
        <w:trPr>
          <w:trHeight w:hRule="exact" w:val="288"/>
        </w:trPr>
        <w:tc>
          <w:tcPr>
            <w:tcW w:type="dxa" w:w="2316"/>
            <w:tcBorders>
              <w:start w:sz="0.9599999785423279" w:val="single" w:color="#000000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.999999999999886" w:type="dxa"/>
            </w:tblPr>
            <w:tblGrid>
              <w:gridCol w:w="579"/>
              <w:gridCol w:w="579"/>
              <w:gridCol w:w="579"/>
              <w:gridCol w:w="579"/>
            </w:tblGrid>
            <w:tr>
              <w:trPr>
                <w:trHeight w:hRule="exact" w:val="216"/>
              </w:trPr>
              <w:tc>
                <w:tcPr>
                  <w:tcW w:type="dxa" w:w="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1600" cy="76200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7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LDA</w:t>
                  </w:r>
                </w:p>
              </w:tc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1600" cy="76200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7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Action-Scene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8.0" w:type="dxa"/>
      </w:tblPr>
      <w:tblGrid>
        <w:gridCol w:w="3159"/>
        <w:gridCol w:w="3159"/>
        <w:gridCol w:w="3159"/>
      </w:tblGrid>
      <w:tr>
        <w:trPr>
          <w:trHeight w:hRule="exact" w:val="242"/>
        </w:trPr>
        <w:tc>
          <w:tcPr>
            <w:tcW w:type="dxa" w:w="820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16" w:after="0"/>
              <w:ind w:left="3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Evarege percision</w:t>
            </w:r>
          </w:p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100.00%</w:t>
            </w:r>
          </w:p>
        </w:tc>
        <w:tc>
          <w:tcPr>
            <w:tcW w:type="dxa" w:w="59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908300" cy="111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40"/>
        </w:trPr>
        <w:tc>
          <w:tcPr>
            <w:tcW w:type="dxa" w:w="3159"/>
            <w:vMerge/>
            <w:tcBorders/>
          </w:tcPr>
          <w:p/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0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90.00%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80.00%</w:t>
            </w:r>
          </w:p>
        </w:tc>
        <w:tc>
          <w:tcPr>
            <w:tcW w:type="dxa" w:w="3159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159"/>
            <w:vMerge/>
            <w:tcBorders/>
          </w:tcPr>
          <w:p/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0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70.00%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60.00%</w:t>
            </w:r>
          </w:p>
        </w:tc>
        <w:tc>
          <w:tcPr>
            <w:tcW w:type="dxa" w:w="3159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3159"/>
            <w:vMerge/>
            <w:tcBorders/>
          </w:tcPr>
          <w:p/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50.00%</w:t>
            </w:r>
          </w:p>
        </w:tc>
        <w:tc>
          <w:tcPr>
            <w:tcW w:type="dxa" w:w="3159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159"/>
            <w:vMerge/>
            <w:tcBorders/>
          </w:tcPr>
          <w:p/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0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40.00%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30.00%</w:t>
            </w:r>
          </w:p>
        </w:tc>
        <w:tc>
          <w:tcPr>
            <w:tcW w:type="dxa" w:w="3159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159"/>
            <w:vMerge/>
            <w:tcBorders/>
          </w:tcPr>
          <w:p/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2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20.00%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10.00%</w:t>
            </w:r>
          </w:p>
        </w:tc>
        <w:tc>
          <w:tcPr>
            <w:tcW w:type="dxa" w:w="3159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159"/>
            <w:vMerge/>
            <w:tcBorders/>
          </w:tcPr>
          <w:p/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0.00%</w:t>
            </w:r>
          </w:p>
        </w:tc>
        <w:tc>
          <w:tcPr>
            <w:tcW w:type="dxa" w:w="315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664" w:after="0"/>
        <w:ind w:left="0" w:right="439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category</w:t>
      </w:r>
    </w:p>
    <w:p>
      <w:pPr>
        <w:autoSpaceDN w:val="0"/>
        <w:autoSpaceDE w:val="0"/>
        <w:widowControl/>
        <w:spacing w:line="180" w:lineRule="exact" w:before="484" w:after="0"/>
        <w:ind w:left="3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1. The Recognition performance of action recognize for Youtube Dataset </w:t>
      </w:r>
    </w:p>
    <w:p>
      <w:pPr>
        <w:autoSpaceDN w:val="0"/>
        <w:autoSpaceDE w:val="0"/>
        <w:widowControl/>
        <w:spacing w:line="240" w:lineRule="exact" w:before="244" w:after="0"/>
        <w:ind w:left="374" w:right="208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evaluate the effect of person detector on the recognition performance, we compare the results using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manually annotated person areas and the areas from person detectors in Section 3.1, and the results in Table 1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show that the performance of LDA can receive a better performance than the action-scene model when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 areas are annotated precisely, and a worse performance when the person areas are automatically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detected. The action-scene model has better robustness than LDA when the features are noisy. </w:t>
      </w:r>
    </w:p>
    <w:p>
      <w:pPr>
        <w:autoSpaceDN w:val="0"/>
        <w:autoSpaceDE w:val="0"/>
        <w:widowControl/>
        <w:spacing w:line="180" w:lineRule="exact" w:before="218" w:after="240"/>
        <w:ind w:left="3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1. The Recognition performance with different feature extraction methods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38.0" w:type="dxa"/>
      </w:tblPr>
      <w:tblGrid>
        <w:gridCol w:w="3159"/>
        <w:gridCol w:w="3159"/>
        <w:gridCol w:w="3159"/>
      </w:tblGrid>
      <w:tr>
        <w:trPr>
          <w:trHeight w:hRule="exact" w:val="260"/>
        </w:trPr>
        <w:tc>
          <w:tcPr>
            <w:tcW w:type="dxa" w:w="173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Recognition Model </w:t>
            </w:r>
          </w:p>
        </w:tc>
        <w:tc>
          <w:tcPr>
            <w:tcW w:type="dxa" w:w="170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3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Annotation </w:t>
            </w:r>
          </w:p>
        </w:tc>
        <w:tc>
          <w:tcPr>
            <w:tcW w:type="dxa" w:w="2484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6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Detector </w:t>
            </w:r>
          </w:p>
        </w:tc>
      </w:tr>
      <w:tr>
        <w:trPr>
          <w:trHeight w:hRule="exact" w:val="258"/>
        </w:trPr>
        <w:tc>
          <w:tcPr>
            <w:tcW w:type="dxa" w:w="173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LDA </w:t>
            </w:r>
          </w:p>
        </w:tc>
        <w:tc>
          <w:tcPr>
            <w:tcW w:type="dxa" w:w="17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3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78.3% </w:t>
            </w:r>
          </w:p>
        </w:tc>
        <w:tc>
          <w:tcPr>
            <w:tcW w:type="dxa" w:w="2484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6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62.4% </w:t>
            </w:r>
          </w:p>
        </w:tc>
      </w:tr>
      <w:tr>
        <w:trPr>
          <w:trHeight w:hRule="exact" w:val="288"/>
        </w:trPr>
        <w:tc>
          <w:tcPr>
            <w:tcW w:type="dxa" w:w="173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Action-Scene </w:t>
            </w:r>
          </w:p>
        </w:tc>
        <w:tc>
          <w:tcPr>
            <w:tcW w:type="dxa" w:w="17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3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73.5% </w:t>
            </w:r>
          </w:p>
        </w:tc>
        <w:tc>
          <w:tcPr>
            <w:tcW w:type="dxa" w:w="2484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14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76.8% </w:t>
            </w:r>
          </w:p>
        </w:tc>
      </w:tr>
    </w:tbl>
    <w:p>
      <w:pPr>
        <w:autoSpaceDN w:val="0"/>
        <w:autoSpaceDE w:val="0"/>
        <w:widowControl/>
        <w:spacing w:line="238" w:lineRule="auto" w:before="254" w:after="0"/>
        <w:ind w:left="37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6. Conclusion </w:t>
      </w:r>
    </w:p>
    <w:p>
      <w:pPr>
        <w:autoSpaceDN w:val="0"/>
        <w:autoSpaceDE w:val="0"/>
        <w:widowControl/>
        <w:spacing w:line="240" w:lineRule="exact" w:before="242" w:after="0"/>
        <w:ind w:left="374" w:right="206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this paper, we explore to recognize human actions from background settings of realistic videos.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action-scene model is proposed to model and learn the relationship between actions and scenes with little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prior knowledge on scene categories. A generative learning method is used to infer actions from scenes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according to a certain distribution. Experimental results validate that the addition of the context cues indeed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improve the recognition precision. Besides, our proposed action-scene model has good robustness when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applied in realistic video datasets. </w:t>
      </w:r>
    </w:p>
    <w:p>
      <w:pPr>
        <w:autoSpaceDN w:val="0"/>
        <w:autoSpaceDE w:val="0"/>
        <w:widowControl/>
        <w:spacing w:line="240" w:lineRule="exact" w:before="0" w:after="0"/>
        <w:ind w:left="374" w:right="206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There are a wide variety of potential applications on the research of action recognition. For further work,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intend to combine our method with known methods to learn application specified contextual cues from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massive realistic videos. </w:t>
      </w:r>
    </w:p>
    <w:p>
      <w:pPr>
        <w:autoSpaceDN w:val="0"/>
        <w:autoSpaceDE w:val="0"/>
        <w:widowControl/>
        <w:spacing w:line="238" w:lineRule="auto" w:before="474" w:after="0"/>
        <w:ind w:left="37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30" w:lineRule="exact" w:before="198" w:after="0"/>
        <w:ind w:left="37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[1] C.Schuldt, I.Laptev, and B.Caputo, “Recognizing human actions: a local SVM approach,” in ICPR, 2004.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[2] J.Niebles, H.Wang, and L.Fei-Fei, “Unsupervised learning of human action categories using spatial-</w:t>
      </w:r>
    </w:p>
    <w:p>
      <w:pPr>
        <w:sectPr>
          <w:pgSz w:w="10885" w:h="14854"/>
          <w:pgMar w:top="368" w:right="756" w:bottom="1172" w:left="652" w:header="720" w:footer="720" w:gutter="0"/>
          <w:cols w:space="720" w:num="1" w:equalWidth="0">
            <w:col w:w="9478" w:space="0"/>
            <w:col w:w="9446" w:space="0"/>
            <w:col w:w="9480" w:space="0"/>
            <w:col w:w="9446" w:space="0"/>
            <w:col w:w="941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070" w:val="left"/>
        </w:tabs>
        <w:autoSpaceDE w:val="0"/>
        <w:widowControl/>
        <w:spacing w:line="176" w:lineRule="exact" w:before="0" w:after="0"/>
        <w:ind w:left="278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Yifei Zhang et al. /  AASRI Procedia  6 ( 2014 )  111 – 117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117</w:t>
      </w:r>
    </w:p>
    <w:p>
      <w:pPr>
        <w:autoSpaceDN w:val="0"/>
        <w:autoSpaceDE w:val="0"/>
        <w:widowControl/>
        <w:spacing w:line="226" w:lineRule="exact" w:before="392" w:after="0"/>
        <w:ind w:left="1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temporal words,” International Journal of Computer Vision, vol. 79, issue 3, pp. 299-318, 2008. </w:t>
      </w:r>
    </w:p>
    <w:p>
      <w:pPr>
        <w:autoSpaceDN w:val="0"/>
        <w:autoSpaceDE w:val="0"/>
        <w:widowControl/>
        <w:spacing w:line="230" w:lineRule="exact" w:before="2" w:after="0"/>
        <w:ind w:left="11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[3] T.Motwani, R.Mooney, “Improving video activity recognition using object recognition and text mining,”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ECAI, 2012. </w:t>
      </w:r>
    </w:p>
    <w:p>
      <w:pPr>
        <w:autoSpaceDN w:val="0"/>
        <w:autoSpaceDE w:val="0"/>
        <w:widowControl/>
        <w:spacing w:line="226" w:lineRule="exact" w:before="2" w:after="0"/>
        <w:ind w:left="1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[4] M.Marszalek, I.Laptev, C.Schmid, “Actions in context,” in CVPR, 2009. </w:t>
      </w:r>
    </w:p>
    <w:p>
      <w:pPr>
        <w:autoSpaceDN w:val="0"/>
        <w:autoSpaceDE w:val="0"/>
        <w:widowControl/>
        <w:spacing w:line="230" w:lineRule="exact" w:before="2" w:after="0"/>
        <w:ind w:left="11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[5] M. Blank, L. Gorelick, E. Shechtman, “Actions as space-time shapes,” Phil. Trans. Roy. Soc. London, vol.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A247, pp. 529-551, April 1955. </w:t>
      </w:r>
    </w:p>
    <w:p>
      <w:pPr>
        <w:autoSpaceDN w:val="0"/>
        <w:autoSpaceDE w:val="0"/>
        <w:widowControl/>
        <w:spacing w:line="230" w:lineRule="exact" w:before="0" w:after="0"/>
        <w:ind w:left="11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[6] Laptev, M.Marszalek, C.Schmid, B.Rozenfeld, “Learning realistic human actions from movies,” in CVPR,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2008. </w:t>
      </w:r>
    </w:p>
    <w:p>
      <w:pPr>
        <w:autoSpaceDN w:val="0"/>
        <w:autoSpaceDE w:val="0"/>
        <w:widowControl/>
        <w:spacing w:line="226" w:lineRule="exact" w:before="4" w:after="0"/>
        <w:ind w:left="1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[7] J.Liu, J.Luo, M.Shah, “Recognizing realistic actions from videos “in the wild” in CVPR, 2009. </w:t>
      </w:r>
    </w:p>
    <w:p>
      <w:pPr>
        <w:autoSpaceDN w:val="0"/>
        <w:autoSpaceDE w:val="0"/>
        <w:widowControl/>
        <w:spacing w:line="226" w:lineRule="exact" w:before="4" w:after="0"/>
        <w:ind w:left="1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[8] D.Han, L.Bo, C.Sminchisescu, “Selection and context for action recognition,” in ICCV, 2009. </w:t>
      </w:r>
    </w:p>
    <w:p>
      <w:pPr>
        <w:autoSpaceDN w:val="0"/>
        <w:autoSpaceDE w:val="0"/>
        <w:widowControl/>
        <w:spacing w:line="228" w:lineRule="exact" w:before="2" w:after="0"/>
        <w:ind w:left="118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[9] N.Ikizler-Cinbis, S.Sclaroff, “Object, scene and actions: combining multiple features for human action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recognition,” in ECCV, 2010. </w:t>
      </w:r>
    </w:p>
    <w:p>
      <w:pPr>
        <w:autoSpaceDN w:val="0"/>
        <w:autoSpaceDE w:val="0"/>
        <w:widowControl/>
        <w:spacing w:line="230" w:lineRule="exact" w:before="0" w:after="0"/>
        <w:ind w:left="118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[10] B.Yao, L.Fei-Fei, “Modeling mutual context of object and human pose in human-object interaction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activities,” in CVPR, 2010. </w:t>
      </w:r>
    </w:p>
    <w:p>
      <w:pPr>
        <w:autoSpaceDN w:val="0"/>
        <w:autoSpaceDE w:val="0"/>
        <w:widowControl/>
        <w:spacing w:line="230" w:lineRule="exact" w:before="0" w:after="0"/>
        <w:ind w:left="118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[11] P. F. Felzenszwalb, R. B. Girshick, D. McAllester, and D. Ramanan, “Object detection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discriminatively trained partbased models, ” IEEE Trans. Pattern Anal. Mach. Intell., 2010. </w:t>
      </w:r>
    </w:p>
    <w:p>
      <w:pPr>
        <w:autoSpaceDN w:val="0"/>
        <w:autoSpaceDE w:val="0"/>
        <w:widowControl/>
        <w:spacing w:line="228" w:lineRule="exact" w:before="2" w:after="0"/>
        <w:ind w:left="118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[12] D. Comaniciu, V. Ramesh, P. Meer, “Real-time tracking of non-rigid objects using mean shift, ”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CVPR, 2000. </w:t>
      </w:r>
    </w:p>
    <w:p>
      <w:pPr>
        <w:autoSpaceDN w:val="0"/>
        <w:autoSpaceDE w:val="0"/>
        <w:widowControl/>
        <w:spacing w:line="228" w:lineRule="exact" w:before="4" w:after="0"/>
        <w:ind w:left="11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[13] P.Dollar, V.Rabaud, G.Cottrell, S. Belongie. “Behavior recognition via sparse spatio-temporal features,”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2nd joint IEEE International workshop on visual surveillance and performance evaluation of tracking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surveillance, 2005. </w:t>
      </w:r>
    </w:p>
    <w:p>
      <w:pPr>
        <w:autoSpaceDN w:val="0"/>
        <w:autoSpaceDE w:val="0"/>
        <w:widowControl/>
        <w:spacing w:line="226" w:lineRule="exact" w:before="6" w:after="0"/>
        <w:ind w:left="1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[14] N. Dalal, B. Triggs, “Histograms of oriented gradients for human detection,” in CVPR, 2005. </w:t>
      </w:r>
    </w:p>
    <w:p>
      <w:pPr>
        <w:autoSpaceDN w:val="0"/>
        <w:autoSpaceDE w:val="0"/>
        <w:widowControl/>
        <w:spacing w:line="230" w:lineRule="exact" w:before="0" w:after="0"/>
        <w:ind w:left="11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[15] A.Oliv, A.Torralba, “Modeling the shape of the scene: a holistic representation of the spatial envelope,”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International Journal of Computer Vision, vol. 42, issue 3, pp. 142-175, 2001. </w:t>
      </w:r>
    </w:p>
    <w:p>
      <w:pPr>
        <w:autoSpaceDN w:val="0"/>
        <w:autoSpaceDE w:val="0"/>
        <w:widowControl/>
        <w:spacing w:line="230" w:lineRule="exact" w:before="0" w:after="0"/>
        <w:ind w:left="11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[16] D.Lowe. “Distinctive image features form scale-invariant keypoints,” International Journal of Computer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Vision, vol. 60, issue 2, pp. 91-110, 2004. </w:t>
      </w:r>
    </w:p>
    <w:p>
      <w:pPr>
        <w:autoSpaceDN w:val="0"/>
        <w:autoSpaceDE w:val="0"/>
        <w:widowControl/>
        <w:spacing w:line="230" w:lineRule="exact" w:before="0" w:after="0"/>
        <w:ind w:left="11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[17] B.Schölkopf, A.Smola, Learning with Kernels: Support Vector Machines, Regularization, Optimization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Beyond, MIT Press, 2002. </w:t>
      </w:r>
    </w:p>
    <w:p>
      <w:pPr>
        <w:autoSpaceDN w:val="0"/>
        <w:autoSpaceDE w:val="0"/>
        <w:widowControl/>
        <w:spacing w:line="230" w:lineRule="exact" w:before="0" w:after="0"/>
        <w:ind w:left="11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[18] D.Blei, A.Ng, M.Jordan, “Latent dirichlet allocation,” Journal of Machine Learning Research, issue 3, pp.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993-1022, 2003. </w:t>
      </w:r>
    </w:p>
    <w:sectPr w:rsidR="00FC693F" w:rsidRPr="0006063C" w:rsidSect="00034616">
      <w:pgSz w:w="10885" w:h="14854"/>
      <w:pgMar w:top="368" w:right="532" w:bottom="1440" w:left="908" w:header="720" w:footer="720" w:gutter="0"/>
      <w:cols w:space="720" w:num="1" w:equalWidth="0">
        <w:col w:w="9446" w:space="0"/>
        <w:col w:w="9478" w:space="0"/>
        <w:col w:w="9446" w:space="0"/>
        <w:col w:w="9480" w:space="0"/>
        <w:col w:w="9446" w:space="0"/>
        <w:col w:w="9414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