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243 – 248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Systems </w:t>
      </w:r>
    </w:p>
    <w:p>
      <w:pPr>
        <w:autoSpaceDN w:val="0"/>
        <w:tabs>
          <w:tab w:pos="3422" w:val="left"/>
        </w:tabs>
        <w:autoSpaceDE w:val="0"/>
        <w:widowControl/>
        <w:spacing w:line="245" w:lineRule="auto" w:before="260" w:after="0"/>
        <w:ind w:left="49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>Bio-inspired Motion Attention for Gist Perception under Spatio-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Temporal Dimension </w:t>
      </w:r>
    </w:p>
    <w:p>
      <w:pPr>
        <w:autoSpaceDN w:val="0"/>
        <w:autoSpaceDE w:val="0"/>
        <w:widowControl/>
        <w:spacing w:line="264" w:lineRule="auto" w:before="2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Jiawei Xu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a*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Shigang Yue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</w:p>
    <w:p>
      <w:pPr>
        <w:autoSpaceDN w:val="0"/>
        <w:autoSpaceDE w:val="0"/>
        <w:widowControl/>
        <w:spacing w:line="192" w:lineRule="exact" w:before="2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10"/>
        </w:rPr>
        <w:t>a,b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School of Computer Science, University of Lincoln, Lincoln, LN6 7TS, United Kingdom </w:t>
      </w:r>
    </w:p>
    <w:p>
      <w:pPr>
        <w:autoSpaceDN w:val="0"/>
        <w:autoSpaceDE w:val="0"/>
        <w:widowControl/>
        <w:spacing w:line="200" w:lineRule="exact" w:before="912" w:after="0"/>
        <w:ind w:left="45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0" w:after="226"/>
        <w:ind w:left="45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This paper analysis the motion effects on human visual system.By using electroenc ephalogram (EEG) and gammo-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amino butyric acid (GABA) we prove middle temporal area (MT) are sensitive on motion perception. It links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bridge between LGN(lateral geniculate nucleus), V1(Primary visual cortex) and MST (medial shlerior temporal area),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feedback between these area are paraelle and circular. Nearly all neurons in MT area show their preference on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specific motion direction and angle. The instantanous firing rate at the specific phase is 10 times higher than other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phases at a certain neuron. The neurons that react similar response to a certain kind of features can compose a  neuron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cluster and work synchronously. The contribution of us is to simulate a computational motion field model, which can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refelect the neuron activities in MT. This model can explain the attention selection mechanism and  visual perception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some extent. However, further endeavor should be addressed on the  interconnection and correlation of neurons.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.0" w:type="dxa"/>
      </w:tblPr>
      <w:tblGrid>
        <w:gridCol w:w="4863"/>
        <w:gridCol w:w="4863"/>
      </w:tblGrid>
      <w:tr>
        <w:trPr>
          <w:trHeight w:hRule="exact" w:val="298"/>
        </w:trPr>
        <w:tc>
          <w:tcPr>
            <w:tcW w:type="dxa" w:w="3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© 2013 The Authors. Published by Elsevier B.V.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2013 Published by Elsevier B.V. 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  <w:tr>
        <w:trPr>
          <w:trHeight w:hRule="exact" w:val="274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176" w:lineRule="exact" w:before="192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Motion field, multi-scale motion vector, spatio-temporal dimension </w:t>
      </w:r>
    </w:p>
    <w:p>
      <w:pPr>
        <w:autoSpaceDN w:val="0"/>
        <w:autoSpaceDE w:val="0"/>
        <w:widowControl/>
        <w:spacing w:line="200" w:lineRule="exact" w:before="1870" w:after="0"/>
        <w:ind w:left="690" w:right="53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 xml:space="preserve">*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Corresponding author. Phone: +44 (0) 7574339972 </w:t>
      </w:r>
      <w:r>
        <w:br/>
      </w:r>
      <w:r>
        <w:rPr>
          <w:rFonts w:ascii="Times" w:hAnsi="Times" w:eastAsia="Times"/>
          <w:b w:val="0"/>
          <w:i/>
          <w:color w:val="221F1F"/>
          <w:sz w:val="16"/>
        </w:rPr>
        <w:t>E-mail: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jxu@lincoln.ac.uk or abyssecho@hotmail.com </w:t>
      </w:r>
    </w:p>
    <w:p>
      <w:pPr>
        <w:autoSpaceDN w:val="0"/>
        <w:autoSpaceDE w:val="0"/>
        <w:widowControl/>
        <w:spacing w:line="200" w:lineRule="exact" w:before="194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10.1016/j.aasri.2013.10.085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4102100</wp:posOffset>
            </wp:positionV>
            <wp:extent cx="5511800" cy="2286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Jiawei Xu and Shigang Yue /  AASRI Procedia  5 ( 2013 )  243 – 248 </w:t>
      </w:r>
    </w:p>
    <w:p>
      <w:pPr>
        <w:autoSpaceDN w:val="0"/>
        <w:autoSpaceDE w:val="0"/>
        <w:widowControl/>
        <w:spacing w:line="222" w:lineRule="exact" w:before="272" w:after="0"/>
        <w:ind w:left="33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58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current researches acknowledge three criterions on human visual perception. They are sparse criteria,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temporal slowness criteria and indepent criteria. This paper research the motion cues based on the sparse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standard. The meaning behind the sparse criteria advice that most neurons shows a relatively low response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external stimuli, includes visual, auditory and olfactory signal, etc. Only a few of them yields a distinct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activity. The response distribution of one neuron to the stimuli inputs has a property of sparse and discrete.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These characters are of paramount importance and lead the dimensional deducation and feature extraction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visual system research. </w:t>
      </w:r>
    </w:p>
    <w:p>
      <w:pPr>
        <w:autoSpaceDN w:val="0"/>
        <w:autoSpaceDE w:val="0"/>
        <w:widowControl/>
        <w:spacing w:line="245" w:lineRule="auto" w:before="18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Temopral slowness criteria is described as following, the signal and environment are rapid change with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time, however, the features are slowly change with the time. Then, if we can extract slowly-changed features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the visual inputs, such as random motion, angular transformation or spin, the computational algorithm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be robust to the bio-inspired model. </w:t>
      </w:r>
    </w:p>
    <w:p>
      <w:pPr>
        <w:autoSpaceDN w:val="0"/>
        <w:tabs>
          <w:tab w:pos="570" w:val="left"/>
        </w:tabs>
        <w:autoSpaceDE w:val="0"/>
        <w:widowControl/>
        <w:spacing w:line="245" w:lineRule="auto" w:before="18" w:after="0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third criteria means the neuron are independent to external stimuli. The combination of independent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 subspace and multi-dimensional independent component analysis explain this criterion effectively. </w:t>
      </w:r>
    </w:p>
    <w:p>
      <w:pPr>
        <w:autoSpaceDN w:val="0"/>
        <w:autoSpaceDE w:val="0"/>
        <w:widowControl/>
        <w:spacing w:line="245" w:lineRule="auto" w:before="18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this paper, we mimic a computational model which cans reflect the human visual selection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instantaneously. In order to represent the complex and irregular neuron activities, we simplify and quantify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problem then it can be simulated on the PC easily. The framework is illustrated in figure 1.. </w:t>
      </w:r>
    </w:p>
    <w:p>
      <w:pPr>
        <w:autoSpaceDN w:val="0"/>
        <w:autoSpaceDE w:val="0"/>
        <w:widowControl/>
        <w:spacing w:line="245" w:lineRule="auto" w:before="18" w:after="322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paper is organized as the following, the section 2 elaborated on the model and algorithm which gives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detail description of algorithm. The experiments part is given in section 3. Section 4 shows the conclusion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comparsion with other state-of-the art models.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850"/>
        <w:gridCol w:w="1850"/>
        <w:gridCol w:w="1850"/>
        <w:gridCol w:w="1850"/>
        <w:gridCol w:w="1850"/>
      </w:tblGrid>
      <w:tr>
        <w:trPr>
          <w:trHeight w:hRule="exact" w:val="23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Dynamic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72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Temporal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3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Full Searching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3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Motion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Feature</w:t>
            </w:r>
          </w:p>
        </w:tc>
      </w:tr>
      <w:tr>
        <w:trPr>
          <w:trHeight w:hRule="exact" w:val="45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inputs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6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dimension</w:t>
            </w:r>
          </w:p>
        </w:tc>
        <w:tc>
          <w:tcPr>
            <w:tcW w:type="dxa" w:w="1850"/>
            <w:vMerge/>
            <w:tcBorders/>
          </w:tcPr>
          <w:p/>
        </w:tc>
        <w:tc>
          <w:tcPr>
            <w:tcW w:type="dxa" w:w="1850"/>
            <w:vMerge/>
            <w:tcBorders/>
          </w:tcPr>
          <w:p/>
        </w:tc>
        <w:tc>
          <w:tcPr>
            <w:tcW w:type="dxa" w:w="1850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850"/>
            <w:vMerge/>
            <w:tcBorders/>
          </w:tcPr>
          <w:p/>
        </w:tc>
        <w:tc>
          <w:tcPr>
            <w:tcW w:type="dxa" w:w="1850"/>
            <w:vMerge/>
            <w:tcBorders/>
          </w:tcPr>
          <w:p/>
        </w:tc>
        <w:tc>
          <w:tcPr>
            <w:tcW w:type="dxa" w:w="1850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3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vectors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channels</w:t>
            </w:r>
          </w:p>
        </w:tc>
      </w:tr>
    </w:tbl>
    <w:p>
      <w:pPr>
        <w:autoSpaceDN w:val="0"/>
        <w:autoSpaceDE w:val="0"/>
        <w:widowControl/>
        <w:spacing w:line="245" w:lineRule="auto" w:before="516" w:after="0"/>
        <w:ind w:left="7796" w:right="864" w:firstLine="0"/>
        <w:jc w:val="left"/>
      </w:pPr>
      <w:r>
        <w:rPr>
          <w:rFonts w:ascii="Calibri" w:hAnsi="Calibri" w:eastAsia="Calibri"/>
          <w:b w:val="0"/>
          <w:i w:val="0"/>
          <w:color w:val="221F1F"/>
          <w:sz w:val="15"/>
        </w:rPr>
        <w:t xml:space="preserve">Median </w:t>
      </w:r>
      <w:r>
        <w:br/>
      </w:r>
      <w:r>
        <w:rPr>
          <w:rFonts w:ascii="Calibri" w:hAnsi="Calibri" w:eastAsia="Calibri"/>
          <w:b w:val="0"/>
          <w:i w:val="0"/>
          <w:color w:val="221F1F"/>
          <w:sz w:val="15"/>
        </w:rPr>
        <w:t>filter</w:t>
      </w:r>
    </w:p>
    <w:p>
      <w:pPr>
        <w:autoSpaceDN w:val="0"/>
        <w:autoSpaceDE w:val="0"/>
        <w:widowControl/>
        <w:spacing w:line="245" w:lineRule="auto" w:before="640" w:after="0"/>
        <w:ind w:left="7452" w:right="288" w:firstLine="0"/>
        <w:jc w:val="left"/>
      </w:pPr>
      <w:r>
        <w:rPr>
          <w:rFonts w:ascii="Calibri" w:hAnsi="Calibri" w:eastAsia="Calibri"/>
          <w:b w:val="0"/>
          <w:i w:val="0"/>
          <w:color w:val="221F1F"/>
          <w:sz w:val="18"/>
        </w:rPr>
        <w:t xml:space="preserve">Motion perception </w:t>
      </w:r>
      <w:r>
        <w:br/>
      </w:r>
      <w:r>
        <w:rPr>
          <w:rFonts w:ascii="Calibri" w:hAnsi="Calibri" w:eastAsia="Calibri"/>
          <w:b w:val="0"/>
          <w:i w:val="0"/>
          <w:color w:val="221F1F"/>
          <w:sz w:val="18"/>
        </w:rPr>
        <w:t>map</w:t>
      </w:r>
    </w:p>
    <w:p>
      <w:pPr>
        <w:autoSpaceDN w:val="0"/>
        <w:autoSpaceDE w:val="0"/>
        <w:widowControl/>
        <w:spacing w:line="197" w:lineRule="auto" w:before="608" w:after="0"/>
        <w:ind w:left="0" w:right="960" w:firstLine="0"/>
        <w:jc w:val="right"/>
      </w:pPr>
      <w:r>
        <w:rPr>
          <w:rFonts w:ascii="Calibri" w:hAnsi="Calibri" w:eastAsia="Calibri"/>
          <w:b w:val="0"/>
          <w:i w:val="0"/>
          <w:color w:val="221F1F"/>
          <w:sz w:val="18"/>
        </w:rPr>
        <w:t>Saliency</w:t>
      </w:r>
    </w:p>
    <w:p>
      <w:pPr>
        <w:autoSpaceDN w:val="0"/>
        <w:autoSpaceDE w:val="0"/>
        <w:widowControl/>
        <w:spacing w:line="197" w:lineRule="auto" w:before="40" w:after="0"/>
        <w:ind w:left="0" w:right="1228" w:firstLine="0"/>
        <w:jc w:val="right"/>
      </w:pPr>
      <w:r>
        <w:rPr>
          <w:rFonts w:ascii="Calibri" w:hAnsi="Calibri" w:eastAsia="Calibri"/>
          <w:b w:val="0"/>
          <w:i w:val="0"/>
          <w:color w:val="221F1F"/>
          <w:sz w:val="18"/>
        </w:rPr>
        <w:t>map</w:t>
      </w:r>
    </w:p>
    <w:p>
      <w:pPr>
        <w:autoSpaceDN w:val="0"/>
        <w:autoSpaceDE w:val="0"/>
        <w:widowControl/>
        <w:spacing w:line="230" w:lineRule="auto" w:before="458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Figure 1. The framework of our proposed model</w:t>
      </w:r>
    </w:p>
    <w:p>
      <w:pPr>
        <w:autoSpaceDN w:val="0"/>
        <w:autoSpaceDE w:val="0"/>
        <w:widowControl/>
        <w:spacing w:line="222" w:lineRule="exact" w:before="260" w:after="0"/>
        <w:ind w:left="33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Model analysis and algorithm designing </w:t>
      </w:r>
    </w:p>
    <w:p>
      <w:pPr>
        <w:autoSpaceDN w:val="0"/>
        <w:autoSpaceDE w:val="0"/>
        <w:widowControl/>
        <w:spacing w:line="245" w:lineRule="auto" w:before="258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model designing concept is desciribed as the following. The motion intensity cue reveals the highly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moving objects. The spatial cues indicate the different motion objects in spatial, while the temporal cues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donates the variability of one object in the temporal dimensional. Also, the motion orientations weight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motion saliency map and affect the results on a critical extent. For example, when we capture a 135 degree </w:t>
      </w:r>
    </w:p>
    <w:p>
      <w:pPr>
        <w:sectPr>
          <w:pgSz w:w="10885" w:h="14854"/>
          <w:pgMar w:top="368" w:right="982" w:bottom="1288" w:left="652" w:header="720" w:footer="720" w:gutter="0"/>
          <w:cols w:space="720" w:num="1" w:equalWidth="0">
            <w:col w:w="925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3429000</wp:posOffset>
            </wp:positionV>
            <wp:extent cx="889000" cy="254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26" w:val="left"/>
        </w:tabs>
        <w:autoSpaceDE w:val="0"/>
        <w:widowControl/>
        <w:spacing w:line="176" w:lineRule="exact" w:before="0" w:after="0"/>
        <w:ind w:left="231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Jiawei Xu and Shigang Yue /  AASRI Procedia  5 ( 2013 )  243 – 248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245</w:t>
      </w:r>
    </w:p>
    <w:p>
      <w:pPr>
        <w:autoSpaceDN w:val="0"/>
        <w:autoSpaceDE w:val="0"/>
        <w:widowControl/>
        <w:spacing w:line="245" w:lineRule="auto" w:before="27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motion on a motion saliency map consisted by most of 45 degree motion vector. This is quite singular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obvious to our human vision system, which means a high tuning weight on the next stage. </w:t>
      </w:r>
    </w:p>
    <w:p>
      <w:pPr>
        <w:autoSpaceDN w:val="0"/>
        <w:autoSpaceDE w:val="0"/>
        <w:widowControl/>
        <w:spacing w:line="250" w:lineRule="auto" w:before="18" w:after="0"/>
        <w:ind w:left="0" w:right="2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select the uncompressed video samples to keep the information fidelity. In each frame, the spatial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layout of motion vectors would compose a field called Dynamic Motion Perception Field [3]; the terminology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 be looked as the photoreceptor of human eyes, all motion vectors can be replaced as the perceptual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response of optic nerves [3]. The model is setted into 3 types of feature cues, motion intensity cues, spatial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phase, and temporal phase, when the moving vector in dynamic motion perception field go through such cues,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they will be transformed into three kinds of feature maps. We fuse the normalized output of cues into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motion cues map and gist perception by the linear combination and it will be tuned by the weight. Finally,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image processing methods are adopted to detect attended regions in saliency map image. The results of our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experiments are shown in figure 2 which gives the flowchart of the original inputs video, the motion cues map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the corresponding gist perception output. The first video clip is based on the 22 spatio-temporal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dimensional, while the others are 18 25, 109 dimensions, respectively. Following on the prediction, we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three cues at every position of full searching block. Each block is a basic unit of motion estimation in video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encoder and it is consisted by an intensity pixel and two chromatic pixel blocks. Hereby we adopt 8*8 Marco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block due to the computational burden. Then the intensity cues can be obtained by computing the magnitude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motion vector. </w:t>
      </w:r>
    </w:p>
    <w:p>
      <w:pPr>
        <w:autoSpaceDN w:val="0"/>
        <w:tabs>
          <w:tab w:pos="804" w:val="left"/>
          <w:tab w:pos="1656" w:val="left"/>
          <w:tab w:pos="1876" w:val="left"/>
          <w:tab w:pos="1894" w:val="left"/>
          <w:tab w:pos="2272" w:val="left"/>
          <w:tab w:pos="2496" w:val="left"/>
          <w:tab w:pos="2514" w:val="left"/>
          <w:tab w:pos="2746" w:val="left"/>
          <w:tab w:pos="2868" w:val="left"/>
          <w:tab w:pos="8628" w:val="left"/>
        </w:tabs>
        <w:autoSpaceDE w:val="0"/>
        <w:widowControl/>
        <w:spacing w:line="168" w:lineRule="exact" w:before="294" w:after="0"/>
        <w:ind w:left="694" w:right="144" w:firstLine="0"/>
        <w:jc w:val="left"/>
      </w:pPr>
      <w:r>
        <w:rPr>
          <w:w w:val="101.24999682108562"/>
          <w:rFonts w:ascii="Times" w:hAnsi="Times" w:eastAsia="Times"/>
          <w:b w:val="0"/>
          <w:i/>
          <w:color w:val="221F1F"/>
          <w:sz w:val="24"/>
        </w:rPr>
        <w:t xml:space="preserve">I i j </w:t>
      </w:r>
      <w:r>
        <w:rPr>
          <w:w w:val="101.24999682108562"/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( , ) </w:t>
      </w:r>
      <w:r>
        <w:tab/>
      </w:r>
      <w:r>
        <w:rPr>
          <w:w w:val="101.24999682108562"/>
          <w:rFonts w:ascii="Times" w:hAnsi="Times" w:eastAsia="Times"/>
          <w:b w:val="0"/>
          <w:i/>
          <w:color w:val="221F1F"/>
          <w:sz w:val="24"/>
        </w:rPr>
        <w:t xml:space="preserve">dx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j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2 </w:t>
      </w:r>
      <w:r>
        <w:tab/>
      </w:r>
      <w:r>
        <w:rPr>
          <w:w w:val="101.24999682108562"/>
          <w:rFonts w:ascii="Times" w:hAnsi="Times" w:eastAsia="Times"/>
          <w:b w:val="0"/>
          <w:i/>
          <w:color w:val="221F1F"/>
          <w:sz w:val="24"/>
        </w:rPr>
        <w:t xml:space="preserve">dy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j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2 </w:t>
      </w:r>
      <w:r>
        <w:tab/>
      </w:r>
      <w:r>
        <w:rPr>
          <w:w w:val="101.24999682108562"/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/ </w:t>
      </w:r>
      <w:r>
        <w:rPr>
          <w:w w:val="101.24999682108562"/>
          <w:rFonts w:ascii="Times" w:hAnsi="Times" w:eastAsia="Times"/>
          <w:b w:val="0"/>
          <w:i/>
          <w:color w:val="221F1F"/>
          <w:sz w:val="24"/>
        </w:rPr>
        <w:t>MaxMag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(1)</w:t>
      </w:r>
    </w:p>
    <w:p>
      <w:pPr>
        <w:autoSpaceDN w:val="0"/>
        <w:autoSpaceDE w:val="0"/>
        <w:widowControl/>
        <w:spacing w:line="246" w:lineRule="exact" w:before="56" w:after="72"/>
        <w:ind w:left="0" w:right="2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here 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( </w:t>
      </w:r>
      <w:r>
        <w:rPr>
          <w:rFonts w:ascii="Times" w:hAnsi="Times" w:eastAsia="Times"/>
          <w:b w:val="0"/>
          <w:i/>
          <w:color w:val="221F1F"/>
          <w:sz w:val="24"/>
        </w:rPr>
        <w:t>dx dy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ij 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indicate two component product of motion vector, and </w:t>
      </w:r>
      <w:r>
        <w:rPr>
          <w:rFonts w:ascii="Times" w:hAnsi="Times" w:eastAsia="Times"/>
          <w:b w:val="0"/>
          <w:i/>
          <w:color w:val="221F1F"/>
          <w:sz w:val="24"/>
        </w:rPr>
        <w:t>MaxMag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is the maximum value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dynamic motion perception field. The spatial coherence phase induces the spatial phase consistency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moving vectors has high probability to be in a motion object. By contraries, the area with inconsistent motion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vectors is possible to be located near the edges of objects or in the still condition. Firstly, we calculate a phase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histogram in spatial window with the size of </w:t>
      </w:r>
      <w:r>
        <w:rPr>
          <w:rFonts w:ascii="Times" w:hAnsi="Times" w:eastAsia="Times"/>
          <w:b w:val="0"/>
          <w:i/>
          <w:color w:val="221F1F"/>
          <w:sz w:val="24"/>
        </w:rPr>
        <w:t>m 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pixels at each location of Marco block. The bin size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is 10 degree, as we segment the 360 degree into 36 intervals, which means from 0 degree to 10 degree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regard it as a same angle. Then, the phase distribution is calculated by the full searching entropy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hRule="exact" w:val="190"/>
        </w:trPr>
        <w:tc>
          <w:tcPr>
            <w:tcW w:type="dxa" w:w="902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52" w:after="0"/>
              <w:ind w:left="1820" w:right="0" w:firstLine="0"/>
              <w:jc w:val="left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n</w:t>
            </w:r>
          </w:p>
        </w:tc>
      </w:tr>
      <w:tr>
        <w:trPr>
          <w:trHeight w:hRule="exact" w:val="280"/>
        </w:trPr>
        <w:tc>
          <w:tcPr>
            <w:tcW w:type="dxa" w:w="1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6" w:firstLine="0"/>
              <w:jc w:val="right"/>
            </w:pP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 xml:space="preserve">C i j </w:t>
            </w: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 xml:space="preserve">s </w:t>
            </w:r>
            <w:r>
              <w:rPr>
                <w:w w:val="98.40545654296875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 , )</w:t>
            </w:r>
          </w:p>
        </w:tc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900" cy="190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 xml:space="preserve">p t </w:t>
            </w: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 xml:space="preserve">S </w:t>
            </w:r>
            <w:r>
              <w:rPr>
                <w:w w:val="98.40545654296875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 )log(</w:t>
            </w:r>
          </w:p>
        </w:tc>
        <w:tc>
          <w:tcPr>
            <w:tcW w:type="dxa" w:w="61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left"/>
            </w:pP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 xml:space="preserve">p t </w:t>
            </w: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 xml:space="preserve">s </w:t>
            </w:r>
            <w:r>
              <w:rPr>
                <w:w w:val="98.40545654296875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 ))</w:t>
            </w:r>
          </w:p>
        </w:tc>
      </w:tr>
      <w:tr>
        <w:trPr>
          <w:trHeight w:hRule="exact" w:val="180"/>
        </w:trPr>
        <w:tc>
          <w:tcPr>
            <w:tcW w:type="dxa" w:w="18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44" w:firstLine="0"/>
              <w:jc w:val="right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t</w:t>
            </w:r>
          </w:p>
        </w:tc>
        <w:tc>
          <w:tcPr>
            <w:tcW w:type="dxa" w:w="7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32" w:right="0" w:firstLine="0"/>
              <w:jc w:val="left"/>
            </w:pPr>
            <w:r>
              <w:rPr>
                <w:w w:val="96.27846204317532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252"/>
        </w:trPr>
        <w:tc>
          <w:tcPr>
            <w:tcW w:type="dxa" w:w="1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202" w:firstLine="0"/>
              <w:jc w:val="right"/>
            </w:pP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 xml:space="preserve">p t </w:t>
            </w: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 xml:space="preserve">s </w:t>
            </w:r>
            <w:r>
              <w:rPr>
                <w:w w:val="98.40545654296875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 )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0" w:right="0" w:firstLine="0"/>
              <w:jc w:val="center"/>
            </w:pP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>SH</w:t>
            </w:r>
          </w:p>
        </w:tc>
        <w:tc>
          <w:tcPr>
            <w:tcW w:type="dxa" w:w="160"/>
            <w:tcBorders>
              <w:bottom w:sz="4.79999999999972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0" w:after="0"/>
              <w:ind w:left="0" w:right="0" w:firstLine="0"/>
              <w:jc w:val="center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w w:val="98.40545654296875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 ) /</w:t>
            </w:r>
          </w:p>
        </w:tc>
        <w:tc>
          <w:tcPr>
            <w:tcW w:type="dxa" w:w="480"/>
            <w:tcBorders>
              <w:bottom w:sz="4.79999999999972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40" w:after="0"/>
              <w:ind w:left="0" w:right="138" w:firstLine="0"/>
              <w:jc w:val="right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0" w:right="0" w:firstLine="0"/>
              <w:jc w:val="center"/>
            </w:pP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>H</w:t>
            </w:r>
          </w:p>
        </w:tc>
        <w:tc>
          <w:tcPr>
            <w:tcW w:type="dxa" w:w="166"/>
            <w:tcBorders>
              <w:bottom w:sz="4.79999999999972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0" w:after="0"/>
              <w:ind w:left="0" w:right="0" w:firstLine="0"/>
              <w:jc w:val="center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6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24" w:right="0" w:firstLine="0"/>
              <w:jc w:val="left"/>
            </w:pPr>
            <w:r>
              <w:rPr>
                <w:w w:val="98.40545654296875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) </w:t>
            </w:r>
            <w:r>
              <w:rPr>
                <w:w w:val="98.40545654296875"/>
                <w:rFonts w:ascii="Times" w:hAnsi="Times" w:eastAsia="Times"/>
                <w:b w:val="0"/>
                <w:i/>
                <w:color w:val="221F1F"/>
                <w:sz w:val="22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(2)</w:t>
            </w:r>
          </w:p>
        </w:tc>
      </w:tr>
      <w:tr>
        <w:trPr>
          <w:trHeight w:hRule="exact" w:val="248"/>
        </w:trPr>
        <w:tc>
          <w:tcPr>
            <w:tcW w:type="dxa" w:w="1021"/>
            <w:vMerge/>
            <w:tcBorders/>
          </w:tcPr>
          <w:p/>
        </w:tc>
        <w:tc>
          <w:tcPr>
            <w:tcW w:type="dxa" w:w="1021"/>
            <w:vMerge/>
            <w:tcBorders/>
          </w:tcPr>
          <w:p/>
        </w:tc>
        <w:tc>
          <w:tcPr>
            <w:tcW w:type="dxa" w:w="160"/>
            <w:tcBorders>
              <w:top w:sz="4.79999999999972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 w:firstLine="0"/>
              <w:jc w:val="center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i j</w:t>
            </w:r>
          </w:p>
        </w:tc>
        <w:tc>
          <w:tcPr>
            <w:tcW w:type="dxa" w:w="2042"/>
            <w:gridSpan w:val="2"/>
            <w:vMerge/>
            <w:tcBorders/>
          </w:tcPr>
          <w:p/>
        </w:tc>
        <w:tc>
          <w:tcPr>
            <w:tcW w:type="dxa" w:w="480"/>
            <w:tcBorders>
              <w:top w:sz="4.79999999999972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0" w:right="4" w:firstLine="0"/>
              <w:jc w:val="right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6.27846204317532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021"/>
            <w:vMerge/>
            <w:tcBorders/>
          </w:tcPr>
          <w:p/>
        </w:tc>
        <w:tc>
          <w:tcPr>
            <w:tcW w:type="dxa" w:w="166"/>
            <w:tcBorders>
              <w:top w:sz="4.799999999999727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 w:firstLine="0"/>
              <w:jc w:val="center"/>
            </w:pPr>
            <w:r>
              <w:rPr>
                <w:w w:val="96.27846204317532"/>
                <w:rFonts w:ascii="Times" w:hAnsi="Times" w:eastAsia="Times"/>
                <w:b w:val="0"/>
                <w:i/>
                <w:color w:val="221F1F"/>
                <w:sz w:val="13"/>
              </w:rPr>
              <w:t>i j</w:t>
            </w:r>
          </w:p>
        </w:tc>
        <w:tc>
          <w:tcPr>
            <w:tcW w:type="dxa" w:w="1021"/>
            <w:vMerge/>
            <w:tcBorders/>
          </w:tcPr>
          <w:p/>
        </w:tc>
      </w:tr>
      <w:tr>
        <w:trPr>
          <w:trHeight w:hRule="exact" w:val="798"/>
        </w:trPr>
        <w:tc>
          <w:tcPr>
            <w:tcW w:type="dxa" w:w="902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  <w:tab w:pos="746" w:val="left"/>
                <w:tab w:pos="3366" w:val="left"/>
                <w:tab w:pos="3698" w:val="left"/>
                <w:tab w:pos="3722" w:val="left"/>
                <w:tab w:pos="4236" w:val="left"/>
              </w:tabs>
              <w:autoSpaceDE w:val="0"/>
              <w:widowControl/>
              <w:spacing w:line="168" w:lineRule="exact" w:before="20" w:after="0"/>
              <w:ind w:left="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donates spatial coherence, </w:t>
            </w:r>
            <w:r>
              <w:rPr>
                <w:w w:val="96.35166327158609"/>
                <w:rFonts w:ascii="Times" w:hAnsi="Times" w:eastAsia="Times"/>
                <w:b w:val="0"/>
                <w:i/>
                <w:color w:val="221F1F"/>
                <w:sz w:val="12"/>
              </w:rPr>
              <w:t xml:space="preserve">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SH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the spatial phase histogram where the probability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distribution function is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p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 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total numbers of histogram bin. Similarly, we define temporal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phase coherence within a sliding window with eacg size of W(frames). It will be the output of temporal </w:t>
            </w:r>
          </w:p>
        </w:tc>
      </w:tr>
    </w:tbl>
    <w:p>
      <w:pPr>
        <w:autoSpaceDN w:val="0"/>
        <w:autoSpaceDE w:val="0"/>
        <w:widowControl/>
        <w:spacing w:line="230" w:lineRule="auto" w:before="8" w:after="6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coherence cues as expressed below: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>
        <w:trPr>
          <w:trHeight w:hRule="exact" w:val="190"/>
        </w:trPr>
        <w:tc>
          <w:tcPr>
            <w:tcW w:type="dxa" w:w="902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54" w:after="0"/>
              <w:ind w:left="1830" w:right="0" w:firstLine="0"/>
              <w:jc w:val="left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n</w:t>
            </w:r>
          </w:p>
        </w:tc>
      </w:tr>
      <w:tr>
        <w:trPr>
          <w:trHeight w:hRule="exact" w:val="280"/>
        </w:trPr>
        <w:tc>
          <w:tcPr>
            <w:tcW w:type="dxa" w:w="1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1"/>
              </w:rPr>
              <w:t xml:space="preserve">C i j </w:t>
            </w: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( , )</w:t>
            </w:r>
          </w:p>
        </w:tc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500" cy="177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1"/>
              </w:rPr>
              <w:t xml:space="preserve">p t </w:t>
            </w: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( )log(</w:t>
            </w:r>
          </w:p>
        </w:tc>
        <w:tc>
          <w:tcPr>
            <w:tcW w:type="dxa" w:w="6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1"/>
              </w:rPr>
              <w:t xml:space="preserve">p t </w:t>
            </w: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( ))</w:t>
            </w:r>
          </w:p>
        </w:tc>
      </w:tr>
      <w:tr>
        <w:trPr>
          <w:trHeight w:hRule="exact" w:val="160"/>
        </w:trPr>
        <w:tc>
          <w:tcPr>
            <w:tcW w:type="dxa" w:w="1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" w:after="0"/>
              <w:ind w:left="0" w:right="32" w:firstLine="0"/>
              <w:jc w:val="right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t</w:t>
            </w:r>
          </w:p>
        </w:tc>
        <w:tc>
          <w:tcPr>
            <w:tcW w:type="dxa" w:w="718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2" w:right="0" w:firstLine="0"/>
              <w:jc w:val="left"/>
            </w:pPr>
            <w:r>
              <w:rPr>
                <w:w w:val="101.71500047047932"/>
                <w:rFonts w:ascii="TimesNewRomanPSMT" w:hAnsi="TimesNewRomanPSMT" w:eastAsia="TimesNewRomanPSMT"/>
                <w:b w:val="0"/>
                <w:i w:val="0"/>
                <w:color w:val="221F1F"/>
                <w:sz w:val="12"/>
              </w:rPr>
              <w:t>1</w:t>
            </w:r>
          </w:p>
        </w:tc>
      </w:tr>
      <w:tr>
        <w:trPr>
          <w:trHeight w:hRule="exact" w:val="180"/>
        </w:trPr>
        <w:tc>
          <w:tcPr>
            <w:tcW w:type="dxa" w:w="1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1"/>
              </w:rPr>
              <w:t xml:space="preserve">p t </w:t>
            </w: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( )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1"/>
              </w:rPr>
              <w:t>TH</w:t>
            </w:r>
          </w:p>
        </w:tc>
        <w:tc>
          <w:tcPr>
            <w:tcW w:type="dxa" w:w="138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54" w:after="0"/>
              <w:ind w:left="0" w:right="0" w:firstLine="0"/>
              <w:jc w:val="center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W</w:t>
            </w:r>
          </w:p>
        </w:tc>
        <w:tc>
          <w:tcPr>
            <w:tcW w:type="dxa" w:w="3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( ) /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4" w:after="0"/>
              <w:ind w:left="0" w:right="0" w:firstLine="0"/>
              <w:jc w:val="center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n</w:t>
            </w:r>
          </w:p>
        </w:tc>
        <w:tc>
          <w:tcPr>
            <w:tcW w:type="dxa" w:w="2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26" w:after="0"/>
              <w:ind w:left="0" w:right="46" w:firstLine="0"/>
              <w:jc w:val="right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W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77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i j</w:t>
            </w:r>
          </w:p>
        </w:tc>
        <w:tc>
          <w:tcPr>
            <w:tcW w:type="dxa" w:w="284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(3)</w:t>
            </w:r>
          </w:p>
        </w:tc>
      </w:tr>
      <w:tr>
        <w:trPr>
          <w:trHeight w:hRule="exact" w:val="116"/>
        </w:trPr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>
              <w:bottom w:sz="4.0" w:val="single" w:color="#221F1F"/>
            </w:tcBorders>
          </w:tcPr>
          <w:p/>
        </w:tc>
        <w:tc>
          <w:tcPr>
            <w:tcW w:type="dxa" w:w="1670"/>
            <w:gridSpan w:val="2"/>
            <w:vMerge/>
            <w:tcBorders/>
          </w:tcPr>
          <w:p/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77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5"/>
            <w:vMerge/>
            <w:tcBorders>
              <w:bottom w:sz="4.0" w:val="single" w:color="#221F1F"/>
            </w:tcBorders>
          </w:tcPr>
          <w:p/>
        </w:tc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>
              <w:bottom w:sz="4.0" w:val="single" w:color="#221F1F"/>
            </w:tcBorders>
          </w:tcPr>
          <w:p/>
        </w:tc>
        <w:tc>
          <w:tcPr>
            <w:tcW w:type="dxa" w:w="83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/>
          </w:tcPr>
          <w:p/>
        </w:tc>
        <w:tc>
          <w:tcPr>
            <w:tcW w:type="dxa" w:w="138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i j</w:t>
            </w:r>
          </w:p>
        </w:tc>
        <w:tc>
          <w:tcPr>
            <w:tcW w:type="dxa" w:w="1670"/>
            <w:gridSpan w:val="2"/>
            <w:vMerge/>
            <w:tcBorders/>
          </w:tcPr>
          <w:p/>
        </w:tc>
        <w:tc>
          <w:tcPr>
            <w:tcW w:type="dxa" w:w="1670"/>
            <w:gridSpan w:val="2"/>
            <w:vMerge/>
            <w:tcBorders/>
          </w:tcPr>
          <w:p/>
        </w:tc>
        <w:tc>
          <w:tcPr>
            <w:tcW w:type="dxa" w:w="2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1"/>
              </w:rPr>
              <w:t>TH</w:t>
            </w:r>
          </w:p>
        </w:tc>
        <w:tc>
          <w:tcPr>
            <w:tcW w:type="dxa" w:w="835"/>
            <w:vMerge/>
            <w:tcBorders/>
          </w:tcPr>
          <w:p/>
        </w:tc>
        <w:tc>
          <w:tcPr>
            <w:tcW w:type="dxa" w:w="284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1"/>
              </w:rPr>
              <w:t>( )</w:t>
            </w:r>
          </w:p>
        </w:tc>
        <w:tc>
          <w:tcPr>
            <w:tcW w:type="dxa" w:w="83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>
              <w:top w:sz="4.0" w:val="single" w:color="#221F1F"/>
            </w:tcBorders>
          </w:tcPr>
          <w:p/>
        </w:tc>
        <w:tc>
          <w:tcPr>
            <w:tcW w:type="dxa" w:w="1670"/>
            <w:gridSpan w:val="2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" w:after="0"/>
              <w:ind w:left="0" w:right="0" w:firstLine="0"/>
              <w:jc w:val="center"/>
            </w:pPr>
            <w:r>
              <w:rPr>
                <w:w w:val="101.71500047047932"/>
                <w:rFonts w:ascii="Times" w:hAnsi="Times" w:eastAsia="Times"/>
                <w:b w:val="0"/>
                <w:i/>
                <w:color w:val="221F1F"/>
                <w:sz w:val="12"/>
              </w:rPr>
              <w:t>k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101.71500047047932"/>
                <w:rFonts w:ascii="TimesNewRomanPSMT" w:hAnsi="TimesNewRomanPSMT" w:eastAsia="TimesNewRomanPSMT"/>
                <w:b w:val="0"/>
                <w:i w:val="0"/>
                <w:color w:val="221F1F"/>
                <w:sz w:val="12"/>
              </w:rPr>
              <w:t>1</w:t>
            </w:r>
          </w:p>
        </w:tc>
        <w:tc>
          <w:tcPr>
            <w:tcW w:type="dxa" w:w="835"/>
            <w:vMerge/>
            <w:tcBorders>
              <w:top w:sz="4.0" w:val="single" w:color="#221F1F"/>
            </w:tcBorders>
          </w:tcPr>
          <w:p/>
        </w:tc>
        <w:tc>
          <w:tcPr>
            <w:tcW w:type="dxa" w:w="835"/>
            <w:vMerge/>
            <w:tcBorders/>
          </w:tcPr>
          <w:p/>
        </w:tc>
        <w:tc>
          <w:tcPr>
            <w:tcW w:type="dxa" w:w="835"/>
            <w:vMerge/>
            <w:tcBorders>
              <w:top w:sz="4.0" w:val="single" w:color="#221F1F"/>
            </w:tcBorders>
          </w:tcPr>
          <w:p/>
        </w:tc>
        <w:tc>
          <w:tcPr>
            <w:tcW w:type="dxa" w:w="835"/>
            <w:vMerge/>
            <w:tcBorders/>
          </w:tcPr>
          <w:p/>
        </w:tc>
      </w:tr>
      <w:tr>
        <w:trPr>
          <w:trHeight w:hRule="exact" w:val="766"/>
        </w:trPr>
        <w:tc>
          <w:tcPr>
            <w:tcW w:type="dxa" w:w="902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4" w:val="left"/>
                <w:tab w:pos="770" w:val="left"/>
                <w:tab w:pos="3510" w:val="left"/>
                <w:tab w:pos="3844" w:val="left"/>
              </w:tabs>
              <w:autoSpaceDE w:val="0"/>
              <w:widowControl/>
              <w:spacing w:line="25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denotes temporal coherence,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TH</w:t>
            </w: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 xml:space="preserve">i j </w:t>
            </w:r>
            <w:r>
              <w:tab/>
            </w: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W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132" w:firstLine="0"/>
              <w:jc w:val="right"/>
            </w:pPr>
            <w:r>
              <w:rPr>
                <w:w w:val="98.708568300519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( 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the temporal phase histogram whose probability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distribution function is </w:t>
            </w:r>
            <w:r>
              <w:rPr>
                <w:w w:val="98.70856830051967"/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p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 </w:t>
            </w: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still the number of histogram bins. Moreover, we increase the frame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number as a temporal dimension and the output is easier to distinguish the difference. The result indicates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74" w:left="1052" w:header="720" w:footer="720" w:gutter="0"/>
          <w:cols w:space="720" w:num="1" w:equalWidth="0">
            <w:col w:w="9186" w:space="0"/>
            <w:col w:w="925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Jiawei Xu and Shigang Yue /  AASRI Procedia  5 ( 2013 )  243 – 248 </w:t>
      </w:r>
    </w:p>
    <w:p>
      <w:pPr>
        <w:autoSpaceDN w:val="0"/>
        <w:autoSpaceDE w:val="0"/>
        <w:widowControl/>
        <w:spacing w:line="245" w:lineRule="auto" w:before="266" w:after="0"/>
        <w:ind w:left="362" w:right="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attended region can be more precise if we elongate the frame number as shown in figure 5. The Laplacian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filter is to remove the impulse noise generated by the input frames. Hereby we adopt the median filter can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preserve the edge information and sharpen the image details. We adopt 3*3, 7*7…, 25*25 window slides 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experiment stage, but finally we utilize 3*3 window as the convenience of later computation. </w:t>
      </w:r>
    </w:p>
    <w:p>
      <w:pPr>
        <w:autoSpaceDN w:val="0"/>
        <w:autoSpaceDE w:val="0"/>
        <w:widowControl/>
        <w:spacing w:line="222" w:lineRule="exact" w:before="258" w:after="0"/>
        <w:ind w:left="36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Experimental Results </w:t>
      </w:r>
    </w:p>
    <w:p>
      <w:pPr>
        <w:autoSpaceDN w:val="0"/>
        <w:autoSpaceDE w:val="0"/>
        <w:widowControl/>
        <w:spacing w:line="245" w:lineRule="auto" w:before="258" w:after="0"/>
        <w:ind w:left="362" w:right="37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evaluate the efficiency of the gist perception, we have applied the approaches on several types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benchmark video sequences from the benchmarks. The detail of the testing results is given in  table 2.We test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our model on a Acer laptop, each consisting of a Quad-Core 2.1 GHz IntelXeon Processor, the benchmark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video testing dataset is list as the table 1 and  based on different genre. </w:t>
      </w:r>
    </w:p>
    <w:p>
      <w:pPr>
        <w:autoSpaceDN w:val="0"/>
        <w:autoSpaceDE w:val="0"/>
        <w:widowControl/>
        <w:spacing w:line="233" w:lineRule="auto" w:before="222" w:after="246"/>
        <w:ind w:left="3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1. An example of a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2.0" w:type="dxa"/>
      </w:tblPr>
      <w:tblGrid>
        <w:gridCol w:w="3212"/>
        <w:gridCol w:w="3212"/>
        <w:gridCol w:w="3212"/>
      </w:tblGrid>
      <w:tr>
        <w:trPr>
          <w:trHeight w:hRule="exact" w:val="216"/>
        </w:trPr>
        <w:tc>
          <w:tcPr>
            <w:tcW w:type="dxa" w:w="24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No. </w:t>
            </w:r>
          </w:p>
        </w:tc>
        <w:tc>
          <w:tcPr>
            <w:tcW w:type="dxa" w:w="2856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Video Subjects </w:t>
            </w:r>
          </w:p>
        </w:tc>
        <w:tc>
          <w:tcPr>
            <w:tcW w:type="dxa" w:w="2856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Temporal dimension </w:t>
            </w:r>
          </w:p>
        </w:tc>
      </w:tr>
      <w:tr>
        <w:trPr>
          <w:trHeight w:hRule="exact" w:val="216"/>
        </w:trPr>
        <w:tc>
          <w:tcPr>
            <w:tcW w:type="dxa" w:w="24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 </w:t>
            </w:r>
          </w:p>
        </w:tc>
        <w:tc>
          <w:tcPr>
            <w:tcW w:type="dxa" w:w="2856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Surfing player </w:t>
            </w:r>
          </w:p>
        </w:tc>
        <w:tc>
          <w:tcPr>
            <w:tcW w:type="dxa" w:w="285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22 </w:t>
            </w:r>
          </w:p>
        </w:tc>
      </w:tr>
      <w:tr>
        <w:trPr>
          <w:trHeight w:hRule="exact" w:val="220"/>
        </w:trPr>
        <w:tc>
          <w:tcPr>
            <w:tcW w:type="dxa" w:w="24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 </w:t>
            </w:r>
          </w:p>
        </w:tc>
        <w:tc>
          <w:tcPr>
            <w:tcW w:type="dxa" w:w="2856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Glider </w:t>
            </w:r>
          </w:p>
        </w:tc>
        <w:tc>
          <w:tcPr>
            <w:tcW w:type="dxa" w:w="285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18 </w:t>
            </w:r>
          </w:p>
        </w:tc>
      </w:tr>
      <w:tr>
        <w:trPr>
          <w:trHeight w:hRule="exact" w:val="216"/>
        </w:trPr>
        <w:tc>
          <w:tcPr>
            <w:tcW w:type="dxa" w:w="24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 </w:t>
            </w:r>
          </w:p>
        </w:tc>
        <w:tc>
          <w:tcPr>
            <w:tcW w:type="dxa" w:w="2856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Motocycler </w:t>
            </w:r>
          </w:p>
        </w:tc>
        <w:tc>
          <w:tcPr>
            <w:tcW w:type="dxa" w:w="285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25 </w:t>
            </w:r>
          </w:p>
        </w:tc>
      </w:tr>
      <w:tr>
        <w:trPr>
          <w:trHeight w:hRule="exact" w:val="218"/>
        </w:trPr>
        <w:tc>
          <w:tcPr>
            <w:tcW w:type="dxa" w:w="24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4 </w:t>
            </w:r>
          </w:p>
        </w:tc>
        <w:tc>
          <w:tcPr>
            <w:tcW w:type="dxa" w:w="285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Traffic artery </w:t>
            </w:r>
          </w:p>
        </w:tc>
        <w:tc>
          <w:tcPr>
            <w:tcW w:type="dxa" w:w="2856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109 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2"/>
        <w:ind w:left="36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2. The salient regions comparisons, hereby we set the ground truth as 1, the ground truth salient regions is labelled by 10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participants.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4818"/>
        <w:gridCol w:w="4818"/>
      </w:tblGrid>
      <w:tr>
        <w:trPr>
          <w:trHeight w:hRule="exact" w:val="240"/>
        </w:trPr>
        <w:tc>
          <w:tcPr>
            <w:tcW w:type="dxa" w:w="4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ROC area </w:t>
            </w:r>
          </w:p>
        </w:tc>
      </w:tr>
      <w:tr>
        <w:trPr>
          <w:trHeight w:hRule="exact" w:val="240"/>
        </w:trPr>
        <w:tc>
          <w:tcPr>
            <w:tcW w:type="dxa" w:w="4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4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Itti&amp; Koch saliency model [8,9]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0.7812 </w:t>
            </w:r>
          </w:p>
        </w:tc>
      </w:tr>
      <w:tr>
        <w:trPr>
          <w:trHeight w:hRule="exact" w:val="240"/>
        </w:trPr>
        <w:tc>
          <w:tcPr>
            <w:tcW w:type="dxa" w:w="4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Achanta’s saliency model [11]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0.7458 </w:t>
            </w:r>
          </w:p>
        </w:tc>
      </w:tr>
      <w:tr>
        <w:trPr>
          <w:trHeight w:hRule="exact" w:val="240"/>
        </w:trPr>
        <w:tc>
          <w:tcPr>
            <w:tcW w:type="dxa" w:w="4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3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AIM [10]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0.7319 </w:t>
            </w:r>
          </w:p>
        </w:tc>
      </w:tr>
      <w:tr>
        <w:trPr>
          <w:trHeight w:hRule="exact" w:val="240"/>
        </w:trPr>
        <w:tc>
          <w:tcPr>
            <w:tcW w:type="dxa" w:w="4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3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Our model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0.8316 </w:t>
            </w:r>
          </w:p>
        </w:tc>
      </w:tr>
    </w:tbl>
    <w:p>
      <w:pPr>
        <w:autoSpaceDN w:val="0"/>
        <w:autoSpaceDE w:val="0"/>
        <w:widowControl/>
        <w:spacing w:line="222" w:lineRule="exact" w:before="254" w:after="0"/>
        <w:ind w:left="36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Conclusion and Future Work </w:t>
      </w:r>
    </w:p>
    <w:p>
      <w:pPr>
        <w:autoSpaceDN w:val="0"/>
        <w:autoSpaceDE w:val="0"/>
        <w:widowControl/>
        <w:spacing w:line="247" w:lineRule="auto" w:before="258" w:after="0"/>
        <w:ind w:left="362" w:right="288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Our contribution can be listed out as the following. We propose a novel method  on the motion effects via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bio-inspired human visual system by a computational model. This is a novel and state-of-the-art way. Unlike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psychological methods, the technique by using computer vision can describe the human attention selection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more vividly. In order to further verify the proposed method, we compared our approach with several state-of-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the-art methods. A lot of measure standard have been proposed since the attention models pop out. Generally,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 are 2 index widely adopted in the evaluation, the salient information is well displayed, quantify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attention models to sticking out the salient region. We measured the overall performance of the proposed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method with respect to precision, recall, and F-measure, and compared them with the performance of existing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competitive automatic salient object segmentation methods, such as Itti &amp; Koch’s method [8][9], AIM [10]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Achanta’s method [11]. </w:t>
      </w:r>
    </w:p>
    <w:p>
      <w:pPr>
        <w:sectPr>
          <w:pgSz w:w="10885" w:h="14854"/>
          <w:pgMar w:top="368" w:right="596" w:bottom="850" w:left="652" w:header="720" w:footer="720" w:gutter="0"/>
          <w:cols w:space="720" w:num="1" w:equalWidth="0">
            <w:col w:w="9638" w:space="0"/>
            <w:col w:w="9186" w:space="0"/>
            <w:col w:w="925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1868170</wp:posOffset>
            </wp:positionH>
            <wp:positionV relativeFrom="page">
              <wp:posOffset>784860</wp:posOffset>
            </wp:positionV>
            <wp:extent cx="3284220" cy="2094948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0949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2349500</wp:posOffset>
            </wp:positionV>
            <wp:extent cx="279400" cy="2540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2349500</wp:posOffset>
            </wp:positionV>
            <wp:extent cx="393700" cy="3810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2336800</wp:posOffset>
            </wp:positionV>
            <wp:extent cx="342900" cy="3556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2336800</wp:posOffset>
            </wp:positionV>
            <wp:extent cx="368300" cy="381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2336800</wp:posOffset>
            </wp:positionV>
            <wp:extent cx="190500" cy="203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2324100</wp:posOffset>
            </wp:positionV>
            <wp:extent cx="406400" cy="4445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2184400</wp:posOffset>
            </wp:positionV>
            <wp:extent cx="63500" cy="76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2044700</wp:posOffset>
            </wp:positionV>
            <wp:extent cx="139700" cy="889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2032000</wp:posOffset>
            </wp:positionV>
            <wp:extent cx="609600" cy="1016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1905000</wp:posOffset>
            </wp:positionV>
            <wp:extent cx="139700" cy="889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4432300</wp:posOffset>
            </wp:positionH>
            <wp:positionV relativeFrom="page">
              <wp:posOffset>1866900</wp:posOffset>
            </wp:positionV>
            <wp:extent cx="393700" cy="889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1778000</wp:posOffset>
            </wp:positionV>
            <wp:extent cx="139700" cy="889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4432300</wp:posOffset>
            </wp:positionH>
            <wp:positionV relativeFrom="page">
              <wp:posOffset>1701800</wp:posOffset>
            </wp:positionV>
            <wp:extent cx="609600" cy="889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1651000</wp:posOffset>
            </wp:positionV>
            <wp:extent cx="152400" cy="76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1511300</wp:posOffset>
            </wp:positionV>
            <wp:extent cx="596900" cy="1016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1511300</wp:posOffset>
            </wp:positionV>
            <wp:extent cx="139700" cy="889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1371600</wp:posOffset>
            </wp:positionV>
            <wp:extent cx="139700" cy="889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1244600</wp:posOffset>
            </wp:positionV>
            <wp:extent cx="139700" cy="762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1104900</wp:posOffset>
            </wp:positionV>
            <wp:extent cx="139700" cy="889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977900</wp:posOffset>
            </wp:positionV>
            <wp:extent cx="139700" cy="762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876300</wp:posOffset>
            </wp:positionV>
            <wp:extent cx="2171700" cy="1397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838200</wp:posOffset>
            </wp:positionV>
            <wp:extent cx="63500" cy="762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12.0" w:type="dxa"/>
      </w:tblPr>
      <w:tblGrid>
        <w:gridCol w:w="4722"/>
        <w:gridCol w:w="4722"/>
      </w:tblGrid>
      <w:tr>
        <w:trPr>
          <w:trHeight w:hRule="exact" w:val="238"/>
        </w:trPr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Jiawei Xu and Shigang Yue /  AASRI Procedia  5 ( 2013 )  243 – 248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</w:t>
            </w:r>
          </w:p>
        </w:tc>
      </w:tr>
    </w:tbl>
    <w:p>
      <w:pPr>
        <w:autoSpaceDN w:val="0"/>
        <w:autoSpaceDE w:val="0"/>
        <w:widowControl/>
        <w:spacing w:line="230" w:lineRule="auto" w:before="3774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Figure 2. Evaluation of our proposed method </w:t>
      </w:r>
    </w:p>
    <w:p>
      <w:pPr>
        <w:autoSpaceDN w:val="0"/>
        <w:autoSpaceDE w:val="0"/>
        <w:widowControl/>
        <w:spacing w:line="247" w:lineRule="auto" w:before="260" w:after="96"/>
        <w:ind w:left="190" w:right="354" w:firstLine="20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 standard evaluation methods, precision is the percentage that the detected saliency map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divided on the non-ground-truth saliency map as been predicted. Recall is a measure of the percentage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provided that the detected saliency map divided on the ground-truth saliency map as been predicted.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highest percentage of precision indicates the real attention as the test participants assumes them as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attention region. The recall is similar as the false positive. F-measure is a special method which predicts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overall performance of the model. Precision (P), recall (R), F-measure used in this study is calculated from: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349"/>
        <w:gridCol w:w="1349"/>
        <w:gridCol w:w="1349"/>
        <w:gridCol w:w="1349"/>
        <w:gridCol w:w="1349"/>
        <w:gridCol w:w="1349"/>
        <w:gridCol w:w="1349"/>
      </w:tblGrid>
      <w:tr>
        <w:trPr>
          <w:trHeight w:hRule="exact" w:val="300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1300" cy="165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* ) /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65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</w:tr>
      <w:tr>
        <w:trPr>
          <w:trHeight w:hRule="exact" w:val="400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1300" cy="177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* ) /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77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</w:tr>
      <w:tr>
        <w:trPr>
          <w:trHeight w:hRule="exact" w:val="412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2*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 R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/ (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(4)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190" w:right="3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Here S donates the proposed attention regions, A is the ground truth attention regions, S*A indicates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grayscale image by the gray value of pixel wise multiplication. </w:t>
      </w:r>
      <w:r>
        <w:drawing>
          <wp:inline xmlns:a="http://schemas.openxmlformats.org/drawingml/2006/main" xmlns:pic="http://schemas.openxmlformats.org/drawingml/2006/picture">
            <wp:extent cx="139700" cy="177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47000122070312"/>
          <w:rFonts w:ascii="TimesNewRomanPSMT" w:hAnsi="TimesNewRomanPSMT" w:eastAsia="TimesNewRomanPSMT"/>
          <w:b w:val="0"/>
          <w:i w:val="0"/>
          <w:color w:val="221F1F"/>
          <w:sz w:val="20"/>
        </w:rPr>
        <w:t>(....)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summation of  the gray value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pixel. Obviously, a larger value F means a better effect result. </w:t>
      </w:r>
    </w:p>
    <w:p>
      <w:pPr>
        <w:autoSpaceDN w:val="0"/>
        <w:autoSpaceDE w:val="0"/>
        <w:widowControl/>
        <w:spacing w:line="245" w:lineRule="auto" w:before="18" w:after="0"/>
        <w:ind w:left="190" w:right="3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focus on the motion cues and the effect bring to the human visual system. Generally, the results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satisfactory and we are trying to simulate the motion effects in the top-down and bottom-up pathway.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they will leads to different outputs if we consider individual agents in the real world. </w:t>
      </w:r>
    </w:p>
    <w:p>
      <w:pPr>
        <w:autoSpaceDN w:val="0"/>
        <w:autoSpaceDE w:val="0"/>
        <w:widowControl/>
        <w:spacing w:line="222" w:lineRule="exact" w:before="48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214" w:after="0"/>
        <w:ind w:left="190" w:right="3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Thanks to all of the collaborators whose modeling work is reviewed here, and to the members of school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computer science, at the University of Lincoln, for discussion and feedback on this research. This work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supported by the grants of EU FP7-IRSES Project EYE2E (269118), LIVCODE (295151)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HAZCEPT(318907). </w:t>
      </w:r>
    </w:p>
    <w:p>
      <w:pPr>
        <w:autoSpaceDN w:val="0"/>
        <w:autoSpaceDE w:val="0"/>
        <w:widowControl/>
        <w:spacing w:line="222" w:lineRule="exact" w:before="96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sectPr>
          <w:pgSz w:w="10885" w:h="14854"/>
          <w:pgMar w:top="368" w:right="532" w:bottom="818" w:left="908" w:header="720" w:footer="720" w:gutter="0"/>
          <w:cols w:space="720" w:num="1" w:equalWidth="0">
            <w:col w:w="9446" w:space="0"/>
            <w:col w:w="9638" w:space="0"/>
            <w:col w:w="9186" w:space="0"/>
            <w:col w:w="925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Jiawei Xu and Shigang Yue /  AASRI Procedia  5 ( 2013 )  243 – 248 </w:t>
      </w:r>
    </w:p>
    <w:p>
      <w:pPr>
        <w:autoSpaceDN w:val="0"/>
        <w:autoSpaceDE w:val="0"/>
        <w:widowControl/>
        <w:spacing w:line="245" w:lineRule="auto" w:before="280" w:after="0"/>
        <w:ind w:left="43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[1]Liu, J and Newsome, WT (2005). Correlation between speed perception and neural activity in the middle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temporal visual area. J. Neurosci. 25(3):711-722. </w:t>
      </w:r>
    </w:p>
    <w:p>
      <w:pPr>
        <w:autoSpaceDN w:val="0"/>
        <w:autoSpaceDE w:val="0"/>
        <w:widowControl/>
        <w:spacing w:line="245" w:lineRule="auto" w:before="8" w:after="0"/>
        <w:ind w:left="43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[2]Newsome, WT and Paré, EB (1988). A selective impairment of motion perception following lesions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middle temporal visual area (MT). J. Neurosci. 8: 2201-2211.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[3]YF Ma, L Lu, HJ Zhang, M Li, "A user attention model for video summarization" ACM Multimedia’02.. </w:t>
      </w:r>
    </w:p>
    <w:p>
      <w:pPr>
        <w:autoSpaceDN w:val="0"/>
        <w:autoSpaceDE w:val="0"/>
        <w:widowControl/>
        <w:spacing w:line="245" w:lineRule="auto" w:before="8" w:after="0"/>
        <w:ind w:left="43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[4]http://www.viratdata.org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http://cim.mcgill.ca/~lijian/database.htm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[6]http://www-prima.inrialpes.fr/PETS04/caviar_data.html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[7]http://people.csail.mit.edu/tjudd/research.html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[8]L. Itti, C. Koch, Feature Combination Strategies for Saliency-Based Visual Attention Systems, Journal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Electronic Imaging, Vol. 10, No. 1, pp. 161-169, Jan. 2001. </w:t>
      </w:r>
    </w:p>
    <w:p>
      <w:pPr>
        <w:autoSpaceDN w:val="0"/>
        <w:autoSpaceDE w:val="0"/>
        <w:widowControl/>
        <w:spacing w:line="245" w:lineRule="auto" w:before="8" w:after="0"/>
        <w:ind w:left="43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[9]L. Itti, C. Koch, E. Niebur, A Model of Saliency-Based Visual Attention for Rapid Scene Analysis, IEEE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Transactions on Pattern Analysis and Machine Intelligence, Vol.20, No. 11, pp. 1254-1259, Nov 1998. </w:t>
      </w:r>
    </w:p>
    <w:p>
      <w:pPr>
        <w:autoSpaceDN w:val="0"/>
        <w:autoSpaceDE w:val="0"/>
        <w:widowControl/>
        <w:spacing w:line="245" w:lineRule="auto" w:before="8" w:after="0"/>
        <w:ind w:left="43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[10]L.Bruce, N.D.B., Tsotsos, J.K., Attention based on information maximization. Journal of Vision,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7(9):950a, 2007. </w:t>
      </w:r>
    </w:p>
    <w:p>
      <w:pPr>
        <w:autoSpaceDN w:val="0"/>
        <w:autoSpaceDE w:val="0"/>
        <w:widowControl/>
        <w:spacing w:line="245" w:lineRule="auto" w:before="8" w:after="0"/>
        <w:ind w:left="43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[11]R. Achanta and S. Süsstrunk, Saliency Detection for Content-aware Image Resizing, IEEE International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Conference on Image Processing, 2009. </w:t>
      </w:r>
    </w:p>
    <w:p>
      <w:pPr>
        <w:autoSpaceDN w:val="0"/>
        <w:autoSpaceDE w:val="0"/>
        <w:widowControl/>
        <w:spacing w:line="245" w:lineRule="auto" w:before="8" w:after="0"/>
        <w:ind w:left="43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[12]L Chelazzi, M Corbetta, Cortical mechanisms of visuospatial attention in the primate brain,The new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cognitive neurosciences, 667-686 </w:t>
      </w:r>
    </w:p>
    <w:sectPr w:rsidR="00FC693F" w:rsidRPr="0006063C" w:rsidSect="00034616">
      <w:pgSz w:w="10885" w:h="14854"/>
      <w:pgMar w:top="368" w:right="596" w:bottom="838" w:left="652" w:header="720" w:footer="720" w:gutter="0"/>
      <w:cols w:space="720" w:num="1" w:equalWidth="0">
        <w:col w:w="9638" w:space="0"/>
        <w:col w:w="9446" w:space="0"/>
        <w:col w:w="9638" w:space="0"/>
        <w:col w:w="9186" w:space="0"/>
        <w:col w:w="9252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