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03" w:type="dxa"/>
      </w:tblPr>
      <w:tblGrid>
        <w:gridCol w:w="3207"/>
        <w:gridCol w:w="3207"/>
        <w:gridCol w:w="3207"/>
      </w:tblGrid>
      <w:tr>
        <w:trPr>
          <w:trHeight w:hRule="exact" w:val="264"/>
        </w:trPr>
        <w:tc>
          <w:tcPr>
            <w:tcW w:type="dxa" w:w="1880"/>
            <w:vMerge w:val="restart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202060"/>
                <w:sz w:val="18"/>
              </w:rPr>
              <w:t>www.sciencedirect.com</w:t>
            </w:r>
          </w:p>
        </w:tc>
        <w:tc>
          <w:tcPr>
            <w:tcW w:type="dxa" w:w="2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8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6"/>
              </w:rPr>
              <w:t>AASRI</w:t>
            </w:r>
          </w:p>
        </w:tc>
      </w:tr>
      <w:tr>
        <w:trPr>
          <w:trHeight w:hRule="exact" w:val="340"/>
        </w:trPr>
        <w:tc>
          <w:tcPr>
            <w:tcW w:type="dxa" w:w="3207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75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7730" cy="16890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0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7"/>
            <w:vMerge/>
            <w:tcBorders/>
          </w:tcPr>
          <w:p/>
        </w:tc>
      </w:tr>
      <w:tr>
        <w:trPr>
          <w:trHeight w:hRule="exact" w:val="550"/>
        </w:trPr>
        <w:tc>
          <w:tcPr>
            <w:tcW w:type="dxa" w:w="3207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30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0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4"/>
              </w:rPr>
              <w:t>Procedia</w:t>
            </w:r>
          </w:p>
        </w:tc>
      </w:tr>
      <w:tr>
        <w:trPr>
          <w:trHeight w:hRule="exact" w:val="264"/>
        </w:trPr>
        <w:tc>
          <w:tcPr>
            <w:tcW w:type="dxa" w:w="188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3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27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1 ( 2012 )  124 – 135 </w:t>
            </w:r>
          </w:p>
        </w:tc>
        <w:tc>
          <w:tcPr>
            <w:tcW w:type="dxa" w:w="206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" w:after="0"/>
              <w:ind w:left="1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www.elsevier.com/locate/procedia</w:t>
            </w:r>
          </w:p>
        </w:tc>
      </w:tr>
    </w:tbl>
    <w:p>
      <w:pPr>
        <w:autoSpaceDN w:val="0"/>
        <w:autoSpaceDE w:val="0"/>
        <w:widowControl/>
        <w:spacing w:line="230" w:lineRule="auto" w:before="1068" w:after="0"/>
        <w:ind w:left="95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 xml:space="preserve">2012 AASRI Conference on Computational Intelligence and Bioinformatics </w:t>
      </w:r>
    </w:p>
    <w:p>
      <w:pPr>
        <w:autoSpaceDN w:val="0"/>
        <w:autoSpaceDE w:val="0"/>
        <w:widowControl/>
        <w:spacing w:line="245" w:lineRule="auto" w:before="264" w:after="0"/>
        <w:ind w:left="432" w:right="72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34"/>
        </w:rPr>
        <w:t xml:space="preserve">Bioinformatics Analysis and Characteristics of UL21 Protein </w:t>
      </w:r>
      <w:r>
        <w:rPr>
          <w:rFonts w:ascii="TimesNewRoman" w:hAnsi="TimesNewRoman" w:eastAsia="TimesNewRoman"/>
          <w:b w:val="0"/>
          <w:i w:val="0"/>
          <w:color w:val="000000"/>
          <w:sz w:val="34"/>
        </w:rPr>
        <w:t xml:space="preserve">from Duck Virus Enteritis </w:t>
      </w:r>
    </w:p>
    <w:p>
      <w:pPr>
        <w:autoSpaceDN w:val="0"/>
        <w:autoSpaceDE w:val="0"/>
        <w:widowControl/>
        <w:spacing w:line="264" w:lineRule="auto" w:before="212" w:after="0"/>
        <w:ind w:left="192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6"/>
        </w:rPr>
        <w:t>Yong Shi</w:t>
      </w:r>
      <w:r>
        <w:rPr>
          <w:rFonts w:ascii="TimesNewRoman" w:hAnsi="TimesNewRoman" w:eastAsia="TimesNewRoman"/>
          <w:b w:val="0"/>
          <w:i w:val="0"/>
          <w:color w:val="000000"/>
          <w:sz w:val="17"/>
        </w:rPr>
        <w:t>a,b</w:t>
      </w:r>
      <w:r>
        <w:rPr>
          <w:rFonts w:ascii="TimesNewRoman" w:hAnsi="TimesNewRoman" w:eastAsia="TimesNewRoman"/>
          <w:b w:val="0"/>
          <w:i w:val="0"/>
          <w:color w:val="000000"/>
          <w:sz w:val="26"/>
        </w:rPr>
        <w:t xml:space="preserve"> Anchun Cheng</w:t>
      </w:r>
      <w:r>
        <w:rPr>
          <w:rFonts w:ascii="TimesNewRoman" w:hAnsi="TimesNewRoman" w:eastAsia="TimesNewRoman"/>
          <w:b w:val="0"/>
          <w:i w:val="0"/>
          <w:color w:val="000000"/>
          <w:sz w:val="17"/>
        </w:rPr>
        <w:t>a,b,c,</w:t>
      </w:r>
      <w:r>
        <w:rPr>
          <w:rFonts w:ascii="TimesNewRoman" w:hAnsi="TimesNewRoman" w:eastAsia="TimesNewRoman"/>
          <w:b w:val="0"/>
          <w:i w:val="0"/>
          <w:color w:val="000000"/>
          <w:sz w:val="26"/>
        </w:rPr>
        <w:t>*, Mingshu Wang</w:t>
      </w:r>
      <w:r>
        <w:rPr>
          <w:rFonts w:ascii="TimesNewRoman" w:hAnsi="TimesNewRoman" w:eastAsia="TimesNewRoman"/>
          <w:b w:val="0"/>
          <w:i w:val="0"/>
          <w:color w:val="000000"/>
          <w:sz w:val="17"/>
        </w:rPr>
        <w:t>a,b,c</w:t>
      </w:r>
    </w:p>
    <w:p>
      <w:pPr>
        <w:autoSpaceDN w:val="0"/>
        <w:autoSpaceDE w:val="0"/>
        <w:widowControl/>
        <w:spacing w:line="259" w:lineRule="auto" w:before="168" w:after="0"/>
        <w:ind w:left="144" w:right="576" w:firstLine="0"/>
        <w:jc w:val="center"/>
      </w:pPr>
      <w:r>
        <w:rPr>
          <w:rFonts w:ascii="TimesNewRoman,Italic" w:hAnsi="TimesNewRoman,Italic" w:eastAsia="TimesNewRoman,Italic"/>
          <w:b w:val="0"/>
          <w:i/>
          <w:color w:val="000000"/>
          <w:sz w:val="10"/>
        </w:rPr>
        <w:t>a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 xml:space="preserve">Institute of Preventive Veterinary Medicine, Sichuan Agricultural University, Wenjiang, Chengdu city, Sichuan, 611130, P.R.China 2. </w:t>
      </w:r>
      <w:r>
        <w:rPr>
          <w:rFonts w:ascii="TimesNewRoman,Italic" w:hAnsi="TimesNewRoman,Italic" w:eastAsia="TimesNewRoman,Italic"/>
          <w:b w:val="0"/>
          <w:i/>
          <w:color w:val="000000"/>
          <w:sz w:val="10"/>
        </w:rPr>
        <w:t>b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 xml:space="preserve">Avian Disease Research Center, College of Veterinary Medicine of Sichuan Agricultural University, 46 Xinkang Road, Ya’an, Sichuan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 xml:space="preserve">625014, P.R. China </w:t>
      </w:r>
      <w:r>
        <w:br/>
      </w:r>
      <w:r>
        <w:rPr>
          <w:rFonts w:ascii="TimesNewRoman,Italic" w:hAnsi="TimesNewRoman,Italic" w:eastAsia="TimesNewRoman,Italic"/>
          <w:b w:val="0"/>
          <w:i/>
          <w:color w:val="000000"/>
          <w:sz w:val="10"/>
        </w:rPr>
        <w:t>c.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 xml:space="preserve">Key Laboratory of Animal Disease and Human Health of Sichuan Province, Sichuan Agricultural University,Wenjiang, Chengdu city, </w:t>
      </w:r>
      <w:r>
        <w:rPr>
          <w:rFonts w:ascii="TimesNewRoman,Italic" w:hAnsi="TimesNewRoman,Italic" w:eastAsia="TimesNewRoman,Italic"/>
          <w:b w:val="0"/>
          <w:i/>
          <w:color w:val="000000"/>
          <w:sz w:val="16"/>
        </w:rPr>
        <w:t xml:space="preserve">Sichuan, 611130, P.R.China) </w:t>
      </w:r>
    </w:p>
    <w:p>
      <w:pPr>
        <w:autoSpaceDN w:val="0"/>
        <w:autoSpaceDE w:val="0"/>
        <w:widowControl/>
        <w:spacing w:line="233" w:lineRule="auto" w:before="668" w:after="0"/>
        <w:ind w:left="188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52" w:lineRule="auto" w:before="242" w:after="0"/>
        <w:ind w:left="188" w:right="54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The UL21 protein of duck virus enteritis is analyzed by means of some software and online tools. The physicochemical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properties results showed that the DEV UL21 product is a stable protein which consists of 561 amino acids and contain 27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potential phosphorylation sites, 3 potential glycosylation sites at aa residues 2, 172, 522. Both the signal peptide and the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transmembrance region are not found. The secondary structure results revealed that UL21 protein is composed of 44.56%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Alpha helix (h), 13.55% extended strand (e) and 41.89% random coil (c), respectively. In addition, the protein subcellular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localization mainly locates at cytoplasmic with 65.2%, nuclear with 17.4 %. The phylogenetic tree and amino acid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sequence comparison analysis revealed DEV UL21 protein is conserved and most closely related to Varicellovirus and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Mardivirus. These results provided rational data to elucidate biological function and physiological features of the UL21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gene. </w:t>
      </w:r>
    </w:p>
    <w:p>
      <w:pPr>
        <w:autoSpaceDN w:val="0"/>
        <w:autoSpaceDE w:val="0"/>
        <w:widowControl/>
        <w:spacing w:line="224" w:lineRule="exact" w:before="236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© 2012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233" w:lineRule="auto" w:before="6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Selection and/or peer review under responsibility of American Applied Science Research Institute </w:t>
      </w:r>
    </w:p>
    <w:p>
      <w:pPr>
        <w:autoSpaceDN w:val="0"/>
        <w:autoSpaceDE w:val="0"/>
        <w:widowControl/>
        <w:spacing w:line="230" w:lineRule="auto" w:before="240" w:after="0"/>
        <w:ind w:left="188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Keywords: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Duck virus enteritis(DVE); Duck plague(DP); UL21 Gene; UL21 protein. </w:t>
      </w:r>
    </w:p>
    <w:p>
      <w:pPr>
        <w:autoSpaceDN w:val="0"/>
        <w:tabs>
          <w:tab w:pos="508" w:val="left"/>
        </w:tabs>
        <w:autoSpaceDE w:val="0"/>
        <w:widowControl/>
        <w:spacing w:line="245" w:lineRule="auto" w:before="1530" w:after="0"/>
        <w:ind w:left="428" w:right="489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* Anchun Cheng;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Tel.: +86 835 2885774; fax: +86 835 2885774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E-mail address: chenganchun@vip.163.com. </w:t>
      </w:r>
    </w:p>
    <w:p>
      <w:pPr>
        <w:autoSpaceDN w:val="0"/>
        <w:autoSpaceDE w:val="0"/>
        <w:widowControl/>
        <w:spacing w:line="200" w:lineRule="exact" w:before="1328" w:after="0"/>
        <w:ind w:left="4" w:right="374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Published by Elsevier Ltd.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10.1016/j.aasri.2012.06.021 </w:t>
      </w:r>
    </w:p>
    <w:p>
      <w:pPr>
        <w:sectPr>
          <w:pgSz w:w="10885" w:h="14854"/>
          <w:pgMar w:top="438" w:right="696" w:bottom="312" w:left="568" w:header="720" w:footer="720" w:gutter="0"/>
          <w:cols w:space="720" w:num="1" w:equalWidth="0"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315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125</w:t>
      </w:r>
    </w:p>
    <w:p>
      <w:pPr>
        <w:autoSpaceDN w:val="0"/>
        <w:autoSpaceDE w:val="0"/>
        <w:widowControl/>
        <w:spacing w:line="230" w:lineRule="auto" w:before="344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1.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Introduction </w:t>
      </w:r>
    </w:p>
    <w:p>
      <w:pPr>
        <w:autoSpaceDN w:val="0"/>
        <w:autoSpaceDE w:val="0"/>
        <w:widowControl/>
        <w:spacing w:line="245" w:lineRule="auto" w:before="260" w:after="0"/>
        <w:ind w:left="190" w:right="496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Duck Virus Enteritis(DVE), also called Duck Plague(DP), is a serious, contagious viral disease, and highly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lethal in all ages of Anseriformes. The mortality and reduction in egg production in commercial caused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significant economic losses[1-2]. Duck enteritis virus (DEV) is a member of the Alphaherpesvirinae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subfamily, but it has not been divided into any genus according to the Eighth International Committee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Taxonomy of Viruses (ICTV) [3]. Previous researches focused on the epidemiology, diagnosis, prevention,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structure and morphogenesis of DEV[4-7]</w:t>
      </w:r>
      <w:r>
        <w:rPr>
          <w:rFonts w:ascii="ËÎÌå" w:hAnsi="ËÎÌå" w:eastAsia="ËÎÌ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but now, more about the DEV gene expression, protein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purification, protein function, detective studies have reported with molecular biology technology[8-10]. </w:t>
      </w:r>
    </w:p>
    <w:p>
      <w:pPr>
        <w:autoSpaceDN w:val="0"/>
        <w:autoSpaceDE w:val="0"/>
        <w:widowControl/>
        <w:spacing w:line="247" w:lineRule="auto" w:before="20" w:after="0"/>
        <w:ind w:left="190" w:right="496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Different herpesvirus have similar structure. The herpes simplex virion has four components: core, capsid,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tegument and the envelope. The tegument which links the capsid and the envelope, composed of a multitude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about 20 proteins, including VP1/2 (UL36), VP11/12(UL46), VP13/14 (UL47), VP16 (UL48), VP22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(UL49), ICP0, ICP4, US2, US3, US10, US11, UL11, UL13, UL14, UL16, UL17, UL21, UL37, UL41, UL51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UL56[11]. </w:t>
      </w:r>
    </w:p>
    <w:p>
      <w:pPr>
        <w:autoSpaceDN w:val="0"/>
        <w:autoSpaceDE w:val="0"/>
        <w:widowControl/>
        <w:spacing w:line="250" w:lineRule="auto" w:before="20" w:after="0"/>
        <w:ind w:left="190" w:right="498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HSV-1 UL21 gene product, a capsid-associated tegument protein, promotes the outgrowth of long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cellular processes when it is over-expressed in non-neural cells. It is presumed that UL21 protein physically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associates with microtubules[13]. The early reports showed that both  HSV and PRV UL21 gene products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not essential for viral replication in cultured cells and its deletion resulted in only marginally reduced titers but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clearly decreased plaque sizes[14-15]. The PrV UL21 gene is a major determinant of PrV virulence, and its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point mutations affecting the UL21 gene of live vaccine strain Bartha contribute to its attenuated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phenotype[16]. In addition, PRV UL21 mutants which lacks UL21 gene has apparently reduced virulence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mice[17-18]. In short, the PRV UL21 protein associates with virulence. But as far, studies about DEV UL21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gene product are limited. </w:t>
      </w:r>
    </w:p>
    <w:p>
      <w:pPr>
        <w:autoSpaceDN w:val="0"/>
        <w:autoSpaceDE w:val="0"/>
        <w:widowControl/>
        <w:spacing w:line="247" w:lineRule="auto" w:before="18" w:after="0"/>
        <w:ind w:left="190" w:right="500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DEV CHv strain genome was identified and sequenced in our laboratory. In this paper, the product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encoded by DEV-UL21 gene, which is presumed as a capsid-associated tegument protein, is analyzed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means of bioinformatics methods. These works may provide some information for further studies on DEV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UL21gene.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2.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Materials and methods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2.1.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DEV-UL21 gene and the deduced amino acid sequence </w:t>
      </w:r>
    </w:p>
    <w:p>
      <w:pPr>
        <w:autoSpaceDN w:val="0"/>
        <w:autoSpaceDE w:val="0"/>
        <w:widowControl/>
        <w:spacing w:line="245" w:lineRule="auto" w:before="260" w:after="0"/>
        <w:ind w:left="190" w:right="500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DEV CHv strain, which is a highly virulent field strain, was obtained from the Key Laboratory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Animal Disease and Human Health of Sichuan Province. The DEV UL21 gene (GenBank Accession No. EU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195090) corresponding amino acid is deduced on line http://mobyle.pasteur.fr/data/jobs/transeq.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2.2.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Analysis of the physico-chemical properties of DEV-UL21 gene product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60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component of the DEV-UL21 protein sequence was analyzed by DNAStar7.0 and on-line tool. All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websites of online predicted tools are shown in Table1. </w:t>
      </w:r>
    </w:p>
    <w:p>
      <w:pPr>
        <w:autoSpaceDN w:val="0"/>
        <w:autoSpaceDE w:val="0"/>
        <w:widowControl/>
        <w:spacing w:line="230" w:lineRule="auto" w:before="294" w:after="252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Table1 The Websites For Analysis And Prediction of  DEV UL21 Protein Bioinformatics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52.0" w:type="dxa"/>
      </w:tblPr>
      <w:tblGrid>
        <w:gridCol w:w="4806"/>
        <w:gridCol w:w="4806"/>
      </w:tblGrid>
      <w:tr>
        <w:trPr>
          <w:trHeight w:hRule="exact" w:val="322"/>
        </w:trPr>
        <w:tc>
          <w:tcPr>
            <w:tcW w:type="dxa" w:w="1964"/>
            <w:tcBorders>
              <w:top w:sz="12.0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108" w:right="0" w:firstLine="0"/>
              <w:jc w:val="left"/>
            </w:pPr>
            <w:r>
              <w:rPr>
                <w:rFonts w:ascii="TimesNewRoman,BoldItalic" w:hAnsi="TimesNewRoman,BoldItalic" w:eastAsia="TimesNewRoman,BoldItalic"/>
                <w:b/>
                <w:i/>
                <w:color w:val="000000"/>
                <w:sz w:val="18"/>
              </w:rPr>
              <w:t xml:space="preserve">Functions </w:t>
            </w:r>
          </w:p>
        </w:tc>
        <w:tc>
          <w:tcPr>
            <w:tcW w:type="dxa" w:w="6160"/>
            <w:tcBorders>
              <w:top w:sz="12.0" w:val="single" w:color="#000000"/>
              <w:bottom w:sz="5.599999999999454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1066" w:right="0" w:firstLine="0"/>
              <w:jc w:val="left"/>
            </w:pPr>
            <w:r>
              <w:rPr>
                <w:rFonts w:ascii="TimesNewRoman,BoldItalic" w:hAnsi="TimesNewRoman,BoldItalic" w:eastAsia="TimesNewRoman,BoldItalic"/>
                <w:b/>
                <w:i/>
                <w:color w:val="000000"/>
                <w:sz w:val="18"/>
              </w:rPr>
              <w:t xml:space="preserve">Websites </w:t>
            </w:r>
          </w:p>
        </w:tc>
      </w:tr>
      <w:tr>
        <w:trPr>
          <w:trHeight w:hRule="exact" w:val="358"/>
        </w:trPr>
        <w:tc>
          <w:tcPr>
            <w:tcW w:type="dxa" w:w="1964"/>
            <w:tcBorders>
              <w:top w:sz="5.599999999999454" w:val="single" w:color="#000000"/>
              <w:bottom w:sz="11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0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Protparam </w:t>
            </w:r>
          </w:p>
        </w:tc>
        <w:tc>
          <w:tcPr>
            <w:tcW w:type="dxa" w:w="6160"/>
            <w:tcBorders>
              <w:top w:sz="5.599999999999454" w:val="single" w:color="#000000"/>
              <w:bottom w:sz="11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0" w:after="0"/>
              <w:ind w:left="106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http://www.expasy.org/tools/protparam.html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648" w:bottom="812" w:left="624" w:header="720" w:footer="720" w:gutter="0"/>
          <w:cols w:space="720" w:num="1" w:equalWidth="0"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03" w:type="dxa"/>
      </w:tblPr>
      <w:tblGrid>
        <w:gridCol w:w="3243"/>
        <w:gridCol w:w="3243"/>
        <w:gridCol w:w="3243"/>
      </w:tblGrid>
      <w:tr>
        <w:trPr>
          <w:trHeight w:hRule="exact" w:val="576"/>
        </w:trPr>
        <w:tc>
          <w:tcPr>
            <w:tcW w:type="dxa" w:w="532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5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126</w:t>
            </w:r>
          </w:p>
        </w:tc>
        <w:tc>
          <w:tcPr>
            <w:tcW w:type="dxa" w:w="2428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94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53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Yong Shi et al. /  AASRI Procedia  1 ( 2012 )  124 – 135 </w:t>
            </w:r>
          </w:p>
        </w:tc>
      </w:tr>
      <w:tr>
        <w:trPr>
          <w:trHeight w:hRule="exact" w:val="270"/>
        </w:trPr>
        <w:tc>
          <w:tcPr>
            <w:tcW w:type="dxa" w:w="532"/>
            <w:vMerge w:val="restart"/>
            <w:tcBorders>
              <w:top w:sz="12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428"/>
            <w:tcBorders>
              <w:top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Signal peptide </w:t>
            </w:r>
          </w:p>
        </w:tc>
        <w:tc>
          <w:tcPr>
            <w:tcW w:type="dxa" w:w="5694"/>
            <w:tcBorders>
              <w:top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http://www.cbs.dtu.dk/services/SignalP </w:t>
            </w:r>
          </w:p>
        </w:tc>
      </w:tr>
      <w:tr>
        <w:trPr>
          <w:trHeight w:hRule="exact" w:val="340"/>
        </w:trPr>
        <w:tc>
          <w:tcPr>
            <w:tcW w:type="dxa" w:w="3243"/>
            <w:vMerge/>
            <w:tcBorders>
              <w:top w:sz="12.0" w:val="single" w:color="#000000"/>
            </w:tcBorders>
          </w:tcPr>
          <w:p/>
        </w:tc>
        <w:tc>
          <w:tcPr>
            <w:tcW w:type="dxa" w:w="2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Phosphorylation sites </w:t>
            </w:r>
          </w:p>
        </w:tc>
        <w:tc>
          <w:tcPr>
            <w:tcW w:type="dxa" w:w="56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http://www.cbs.dtu.dk/services/NetPhos/ </w:t>
            </w:r>
          </w:p>
        </w:tc>
      </w:tr>
      <w:tr>
        <w:trPr>
          <w:trHeight w:hRule="exact" w:val="340"/>
        </w:trPr>
        <w:tc>
          <w:tcPr>
            <w:tcW w:type="dxa" w:w="3243"/>
            <w:vMerge/>
            <w:tcBorders>
              <w:top w:sz="12.0" w:val="single" w:color="#000000"/>
            </w:tcBorders>
          </w:tcPr>
          <w:p/>
        </w:tc>
        <w:tc>
          <w:tcPr>
            <w:tcW w:type="dxa" w:w="2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4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Transmembrance region </w:t>
            </w:r>
          </w:p>
        </w:tc>
        <w:tc>
          <w:tcPr>
            <w:tcW w:type="dxa" w:w="56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4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http://genome.cbs.dtu.dk/services/TMHMM/ </w:t>
            </w:r>
          </w:p>
        </w:tc>
      </w:tr>
      <w:tr>
        <w:trPr>
          <w:trHeight w:hRule="exact" w:val="340"/>
        </w:trPr>
        <w:tc>
          <w:tcPr>
            <w:tcW w:type="dxa" w:w="3243"/>
            <w:vMerge/>
            <w:tcBorders>
              <w:top w:sz="12.0" w:val="single" w:color="#000000"/>
            </w:tcBorders>
          </w:tcPr>
          <w:p/>
        </w:tc>
        <w:tc>
          <w:tcPr>
            <w:tcW w:type="dxa" w:w="2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Hydrophobicity </w:t>
            </w:r>
          </w:p>
        </w:tc>
        <w:tc>
          <w:tcPr>
            <w:tcW w:type="dxa" w:w="56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http://www.expasy.org/tools/protscale.html </w:t>
            </w:r>
          </w:p>
        </w:tc>
      </w:tr>
      <w:tr>
        <w:trPr>
          <w:trHeight w:hRule="exact" w:val="320"/>
        </w:trPr>
        <w:tc>
          <w:tcPr>
            <w:tcW w:type="dxa" w:w="3243"/>
            <w:vMerge/>
            <w:tcBorders>
              <w:top w:sz="12.0" w:val="single" w:color="#000000"/>
            </w:tcBorders>
          </w:tcPr>
          <w:p/>
        </w:tc>
        <w:tc>
          <w:tcPr>
            <w:tcW w:type="dxa" w:w="2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6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Glycosylation sites </w:t>
            </w:r>
          </w:p>
        </w:tc>
        <w:tc>
          <w:tcPr>
            <w:tcW w:type="dxa" w:w="56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6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http://www.cbs.dtu.dk/services/NetNGlyc/ </w:t>
            </w:r>
          </w:p>
        </w:tc>
      </w:tr>
      <w:tr>
        <w:trPr>
          <w:trHeight w:hRule="exact" w:val="340"/>
        </w:trPr>
        <w:tc>
          <w:tcPr>
            <w:tcW w:type="dxa" w:w="3243"/>
            <w:vMerge/>
            <w:tcBorders>
              <w:top w:sz="12.0" w:val="single" w:color="#000000"/>
            </w:tcBorders>
          </w:tcPr>
          <w:p/>
        </w:tc>
        <w:tc>
          <w:tcPr>
            <w:tcW w:type="dxa" w:w="2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Epitope analysis </w:t>
            </w:r>
          </w:p>
        </w:tc>
        <w:tc>
          <w:tcPr>
            <w:tcW w:type="dxa" w:w="56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2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http://www.cbs.dtu.dk/services/BepiPre </w:t>
            </w:r>
          </w:p>
        </w:tc>
      </w:tr>
      <w:tr>
        <w:trPr>
          <w:trHeight w:hRule="exact" w:val="340"/>
        </w:trPr>
        <w:tc>
          <w:tcPr>
            <w:tcW w:type="dxa" w:w="3243"/>
            <w:vMerge/>
            <w:tcBorders>
              <w:top w:sz="12.0" w:val="single" w:color="#000000"/>
            </w:tcBorders>
          </w:tcPr>
          <w:p/>
        </w:tc>
        <w:tc>
          <w:tcPr>
            <w:tcW w:type="dxa" w:w="2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Subcellular locatization </w:t>
            </w:r>
          </w:p>
        </w:tc>
        <w:tc>
          <w:tcPr>
            <w:tcW w:type="dxa" w:w="56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http://psort.nibb.ac.jp/form2.html </w:t>
            </w:r>
          </w:p>
        </w:tc>
      </w:tr>
      <w:tr>
        <w:trPr>
          <w:trHeight w:hRule="exact" w:val="286"/>
        </w:trPr>
        <w:tc>
          <w:tcPr>
            <w:tcW w:type="dxa" w:w="3243"/>
            <w:vMerge/>
            <w:tcBorders>
              <w:top w:sz="12.0" w:val="single" w:color="#000000"/>
            </w:tcBorders>
          </w:tcPr>
          <w:p/>
        </w:tc>
        <w:tc>
          <w:tcPr>
            <w:tcW w:type="dxa" w:w="2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Secondary structure </w:t>
            </w:r>
          </w:p>
        </w:tc>
        <w:tc>
          <w:tcPr>
            <w:tcW w:type="dxa" w:w="56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4" w:after="0"/>
              <w:ind w:left="6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http://npsa-pbil.ibcp.fr/cgi-</w:t>
            </w:r>
          </w:p>
        </w:tc>
      </w:tr>
    </w:tbl>
    <w:p>
      <w:pPr>
        <w:autoSpaceDN w:val="0"/>
        <w:autoSpaceDE w:val="0"/>
        <w:widowControl/>
        <w:spacing w:line="233" w:lineRule="auto" w:before="4" w:after="4"/>
        <w:ind w:left="0" w:right="2420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bin/npsa_automat.pl?page=/NPSA/npsa_mlrc.html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50.0" w:type="dxa"/>
      </w:tblPr>
      <w:tblGrid>
        <w:gridCol w:w="4864"/>
        <w:gridCol w:w="4864"/>
      </w:tblGrid>
      <w:tr>
        <w:trPr>
          <w:trHeight w:hRule="exact" w:val="222"/>
        </w:trPr>
        <w:tc>
          <w:tcPr>
            <w:tcW w:type="dxa" w:w="2222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Tertiary structure </w:t>
            </w:r>
          </w:p>
        </w:tc>
        <w:tc>
          <w:tcPr>
            <w:tcW w:type="dxa" w:w="5914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8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http://www.cbs.dtu.dk/services/CPHmodels/ </w:t>
            </w:r>
          </w:p>
        </w:tc>
      </w:tr>
    </w:tbl>
    <w:p>
      <w:pPr>
        <w:autoSpaceDN w:val="0"/>
        <w:autoSpaceDE w:val="0"/>
        <w:widowControl/>
        <w:spacing w:line="233" w:lineRule="auto" w:before="188" w:after="0"/>
        <w:ind w:left="20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2.3.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Amino acid sequence comparison </w:t>
      </w:r>
    </w:p>
    <w:p>
      <w:pPr>
        <w:autoSpaceDN w:val="0"/>
        <w:autoSpaceDE w:val="0"/>
        <w:widowControl/>
        <w:spacing w:line="247" w:lineRule="auto" w:before="180" w:after="0"/>
        <w:ind w:left="200" w:right="604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Amino acid sequence comparison between the putative proteins encoded by DEV UL21 and other DEV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strains( DEV UL21-like strain and DEV VAC strain) were aligned with the DNAStar 7.1 software in order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investigate differences in different DEV strains. Meanwhile, multiple sequences alignment of UL21 protein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sequence of DEV, GaHV-2, GaHV-3, MeHV-1, HSV-1, EHV-1 and SuHV-1 were performed to validate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conservatism of herpesvirion UL21 product. </w:t>
      </w:r>
    </w:p>
    <w:p>
      <w:pPr>
        <w:autoSpaceDN w:val="0"/>
        <w:autoSpaceDE w:val="0"/>
        <w:widowControl/>
        <w:spacing w:line="245" w:lineRule="auto" w:before="178" w:after="0"/>
        <w:ind w:left="200" w:right="72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2.4.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Phylogenetic analysis of the DEV-UL21 protein according to Compare with 25 Reference herpesviruses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UL21 Protein Sequences </w:t>
      </w:r>
    </w:p>
    <w:p>
      <w:pPr>
        <w:autoSpaceDN w:val="0"/>
        <w:autoSpaceDE w:val="0"/>
        <w:widowControl/>
        <w:spacing w:line="245" w:lineRule="auto" w:before="172" w:after="0"/>
        <w:ind w:left="200" w:right="630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phylogenetic tree was performed according to the amino acid sequences of the UL21 product in DEV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25 Reference herpesviruses by using the MegAlign of DNAStar 7.1. The 25 reference herpesviruses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UL21 protein sequences were employed from the NCBI GenBank nucleotide database (shown in Table 2). </w:t>
      </w:r>
    </w:p>
    <w:p>
      <w:pPr>
        <w:autoSpaceDN w:val="0"/>
        <w:autoSpaceDE w:val="0"/>
        <w:widowControl/>
        <w:spacing w:line="230" w:lineRule="auto" w:before="56" w:after="254"/>
        <w:ind w:left="2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Table 2  The Information About UL21 Protein Sequence of  25 Reference Herpesviruses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.000000000000057" w:type="dxa"/>
      </w:tblPr>
      <w:tblGrid>
        <w:gridCol w:w="2432"/>
        <w:gridCol w:w="2432"/>
        <w:gridCol w:w="2432"/>
        <w:gridCol w:w="2432"/>
      </w:tblGrid>
      <w:tr>
        <w:trPr>
          <w:trHeight w:hRule="exact" w:val="304"/>
        </w:trPr>
        <w:tc>
          <w:tcPr>
            <w:tcW w:type="dxa" w:w="2138"/>
            <w:vMerge w:val="restart"/>
            <w:tcBorders>
              <w:top w:sz="11.199999999999818" w:val="single" w:color="#000000"/>
              <w:bottom w:sz="11.199999999999818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Genus </w:t>
            </w:r>
          </w:p>
        </w:tc>
        <w:tc>
          <w:tcPr>
            <w:tcW w:type="dxa" w:w="3840"/>
            <w:vMerge w:val="restart"/>
            <w:tcBorders>
              <w:top w:sz="11.199999999999818" w:val="single" w:color="#000000"/>
              <w:bottom w:sz="11.199999999999818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0" w:after="0"/>
              <w:ind w:left="0" w:right="51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Virus name (Abbreviation) </w:t>
            </w:r>
          </w:p>
        </w:tc>
        <w:tc>
          <w:tcPr>
            <w:tcW w:type="dxa" w:w="2320"/>
            <w:tcBorders>
              <w:top w:sz="11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43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GeneBank accession </w:t>
            </w:r>
          </w:p>
        </w:tc>
        <w:tc>
          <w:tcPr>
            <w:tcW w:type="dxa" w:w="922"/>
            <w:vMerge w:val="restart"/>
            <w:tcBorders>
              <w:top w:sz="11.199999999999818" w:val="single" w:color="#000000"/>
              <w:bottom w:sz="11.199999999999818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58" w:after="0"/>
              <w:ind w:left="18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L [aa] </w:t>
            </w:r>
          </w:p>
        </w:tc>
      </w:tr>
      <w:tr>
        <w:trPr>
          <w:trHeight w:hRule="exact" w:val="310"/>
        </w:trPr>
        <w:tc>
          <w:tcPr>
            <w:tcW w:type="dxa" w:w="2432"/>
            <w:vMerge/>
            <w:tcBorders>
              <w:top w:sz="11.199999999999818" w:val="single" w:color="#000000"/>
              <w:bottom w:sz="11.199999999999818" w:val="single" w:color="#000000"/>
            </w:tcBorders>
          </w:tcPr>
          <w:p/>
        </w:tc>
        <w:tc>
          <w:tcPr>
            <w:tcW w:type="dxa" w:w="2432"/>
            <w:vMerge/>
            <w:tcBorders>
              <w:top w:sz="11.199999999999818" w:val="single" w:color="#000000"/>
              <w:bottom w:sz="11.199999999999818" w:val="single" w:color="#000000"/>
            </w:tcBorders>
          </w:tcPr>
          <w:p/>
        </w:tc>
        <w:tc>
          <w:tcPr>
            <w:tcW w:type="dxa" w:w="2320"/>
            <w:tcBorders>
              <w:bottom w:sz="11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84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NO. </w:t>
            </w:r>
          </w:p>
        </w:tc>
        <w:tc>
          <w:tcPr>
            <w:tcW w:type="dxa" w:w="2432"/>
            <w:vMerge/>
            <w:tcBorders>
              <w:top w:sz="11.199999999999818" w:val="single" w:color="#000000"/>
              <w:bottom w:sz="11.199999999999818" w:val="single" w:color="#000000"/>
            </w:tcBorders>
          </w:tcPr>
          <w:p/>
        </w:tc>
      </w:tr>
      <w:tr>
        <w:trPr>
          <w:trHeight w:hRule="exact" w:val="230"/>
        </w:trPr>
        <w:tc>
          <w:tcPr>
            <w:tcW w:type="dxa" w:w="2138"/>
            <w:tcBorders>
              <w:top w:sz="11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Simplexvirus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>
              <w:top w:sz="11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6" w:after="0"/>
              <w:ind w:left="52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Cercopithecine herpesvirus 1(CeHV-1)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>
              <w:top w:sz="11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6" w:after="0"/>
              <w:ind w:left="0" w:right="56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AF 533768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vMerge w:val="restart"/>
            <w:tcBorders>
              <w:top w:sz="11.199999999999818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8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526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46"/>
        </w:trPr>
        <w:tc>
          <w:tcPr>
            <w:tcW w:type="dxa" w:w="21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Simplexvirus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52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Cercopithecine herpesvirus 2(CeHV-2)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55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006560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432"/>
            <w:vMerge/>
            <w:tcBorders>
              <w:top w:sz="11.199999999999818" w:val="single" w:color="#000000"/>
            </w:tcBorders>
          </w:tcPr>
          <w:p/>
        </w:tc>
      </w:tr>
      <w:tr>
        <w:trPr>
          <w:trHeight w:hRule="exact" w:val="234"/>
        </w:trPr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12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526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8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Simplexvirus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8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Bovine herpesvirus 2(BoHV-2)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56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AF 387490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522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8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Simplexvirus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8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Human herpesvirus 1(HSV-1)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0" w:right="55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001806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535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8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Simplexvirus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8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Human herpesvirus 2(HSV-2)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55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001798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82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532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56"/>
        </w:trPr>
        <w:tc>
          <w:tcPr>
            <w:tcW w:type="dxa" w:w="21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9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Simplexvirus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98" w:after="0"/>
              <w:ind w:left="8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Papiine herpesvirus 2(PaHV-2)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98" w:after="0"/>
              <w:ind w:left="0" w:right="55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007653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432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4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528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30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Simplexvirus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7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Saimiriine herpesvirus 1(SaHV-1)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0" w:right="53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HM 625781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72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537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6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2" w:after="0"/>
              <w:ind w:left="8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Bovine herpesvirus 1(BoHV-1)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2" w:after="0"/>
              <w:ind w:left="0" w:right="55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001847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574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8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8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Bovine herpesvirus 5(BoHV-5)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55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005261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603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8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8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Equine herpesvirus 1( EHV-1)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54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AY 464052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4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530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56"/>
        </w:trPr>
        <w:tc>
          <w:tcPr>
            <w:tcW w:type="dxa" w:w="21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8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Equine herpesvirus 4( EHV-4)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0" w:right="56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AF 030027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432"/>
            <w:vMerge/>
            <w:tcBorders/>
          </w:tcPr>
          <w:p/>
        </w:tc>
      </w:tr>
      <w:tr>
        <w:trPr>
          <w:trHeight w:hRule="exact" w:val="244"/>
        </w:trPr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2432"/>
            <w:vMerge/>
            <w:tcBorders/>
          </w:tcPr>
          <w:p/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4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529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80"/>
        </w:trPr>
        <w:tc>
          <w:tcPr>
            <w:tcW w:type="dxa" w:w="21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88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Equid herpesvirus 9( EHV-9)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2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0" w:right="56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AP 010838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530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324"/>
        </w:trPr>
        <w:tc>
          <w:tcPr>
            <w:tcW w:type="dxa" w:w="2138"/>
            <w:tcBorders>
              <w:bottom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3840"/>
            <w:tcBorders>
              <w:bottom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90" w:after="0"/>
              <w:ind w:left="77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Felid herpesvirus 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FeHV-1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��</w:t>
            </w:r>
          </w:p>
        </w:tc>
        <w:tc>
          <w:tcPr>
            <w:tcW w:type="dxa" w:w="2320"/>
            <w:tcBorders>
              <w:bottom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6" w:after="0"/>
              <w:ind w:left="0" w:right="59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FJ 478159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22"/>
            <w:tcBorders>
              <w:bottom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76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527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588" w:bottom="784" w:left="568" w:header="720" w:footer="720" w:gutter="0"/>
          <w:cols w:space="720" w:num="1" w:equalWidth="0"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.999999999999986" w:type="dxa"/>
      </w:tblPr>
      <w:tblGrid>
        <w:gridCol w:w="1923"/>
        <w:gridCol w:w="1923"/>
        <w:gridCol w:w="1923"/>
        <w:gridCol w:w="1923"/>
        <w:gridCol w:w="1923"/>
      </w:tblGrid>
      <w:tr>
        <w:trPr>
          <w:trHeight w:hRule="exact" w:val="522"/>
        </w:trPr>
        <w:tc>
          <w:tcPr>
            <w:tcW w:type="dxa" w:w="2282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380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858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Yong Shi et al. /  AASRI Procedia  1 ( 2012 )  124 – 135 </w:t>
            </w:r>
          </w:p>
        </w:tc>
        <w:tc>
          <w:tcPr>
            <w:tcW w:type="dxa" w:w="1520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38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62"/>
            <w:tcBorders>
              <w:bottom w:sz="12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127</w:t>
            </w:r>
          </w:p>
        </w:tc>
      </w:tr>
      <w:tr>
        <w:trPr>
          <w:trHeight w:hRule="exact" w:val="244"/>
        </w:trPr>
        <w:tc>
          <w:tcPr>
            <w:tcW w:type="dxa" w:w="2282"/>
            <w:tcBorders>
              <w:top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49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4380"/>
            <w:tcBorders>
              <w:top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71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Human herpesvirus 3(HSV-3)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520"/>
            <w:tcBorders>
              <w:top w:sz="12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2" w:after="0"/>
              <w:ind w:left="1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DQ 674250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038"/>
            <w:vMerge w:val="restart"/>
            <w:tcBorders>
              <w:top w:sz="12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541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362"/>
            <w:vMerge w:val="restart"/>
            <w:tcBorders>
              <w:top w:sz="12.0" w:val="single" w:color="#000000"/>
              <w:bottom w:sz="11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4"/>
        </w:trPr>
        <w:tc>
          <w:tcPr>
            <w:tcW w:type="dxa" w:w="228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49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4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65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Suid herpesvirus 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SuHV-1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��</w:t>
            </w:r>
          </w:p>
        </w:tc>
        <w:tc>
          <w:tcPr>
            <w:tcW w:type="dxa" w:w="15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1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AY 363172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</w:tcBorders>
          </w:tcPr>
          <w:p/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26"/>
        </w:trPr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/>
          </w:tcPr>
          <w:p/>
        </w:tc>
        <w:tc>
          <w:tcPr>
            <w:tcW w:type="dxa" w:w="10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525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56"/>
        </w:trPr>
        <w:tc>
          <w:tcPr>
            <w:tcW w:type="dxa" w:w="228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49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Varicellovirus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4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8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Canine Herpesvirus(CHV)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5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00" w:after="0"/>
              <w:ind w:left="1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AY 768815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44"/>
        </w:trPr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/>
          </w:tcPr>
          <w:p/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4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522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2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0" w:right="88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Iltovirus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4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6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Psittacid herpesvirus 1 (PsHV-1)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1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005264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8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569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2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0" w:right="92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Iltovirus </w:t>
            </w:r>
          </w:p>
        </w:tc>
        <w:tc>
          <w:tcPr>
            <w:tcW w:type="dxa" w:w="4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7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Gallid herpesvirus 1(GaHV-1)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0" w:after="0"/>
              <w:ind w:left="1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NC 006623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532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2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0" w:right="78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Mardivirus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4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7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Gallid herpesvirus 2(GaHV-2)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17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AF 439271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10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2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546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52"/>
        </w:trPr>
        <w:tc>
          <w:tcPr>
            <w:tcW w:type="dxa" w:w="228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8" w:after="0"/>
              <w:ind w:left="0" w:right="83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Mardivirus </w:t>
            </w:r>
          </w:p>
        </w:tc>
        <w:tc>
          <w:tcPr>
            <w:tcW w:type="dxa" w:w="4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8" w:after="0"/>
              <w:ind w:left="7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Gallid herpesvirus 3(GaHV-3) </w:t>
            </w:r>
          </w:p>
        </w:tc>
        <w:tc>
          <w:tcPr>
            <w:tcW w:type="dxa" w:w="15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8" w:after="0"/>
              <w:ind w:left="1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HQ 840738 </w:t>
            </w:r>
          </w:p>
        </w:tc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48"/>
        </w:trPr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/>
          </w:tcPr>
          <w:p/>
        </w:tc>
        <w:tc>
          <w:tcPr>
            <w:tcW w:type="dxa" w:w="1923"/>
            <w:vMerge/>
            <w:tcBorders/>
          </w:tcPr>
          <w:p/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26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532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2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0" w:right="83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Mardivirus </w:t>
            </w:r>
          </w:p>
        </w:tc>
        <w:tc>
          <w:tcPr>
            <w:tcW w:type="dxa" w:w="4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5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Meleagrid herpesvirus 1 (MeHV-1) </w:t>
            </w:r>
          </w:p>
        </w:tc>
        <w:tc>
          <w:tcPr>
            <w:tcW w:type="dxa" w:w="1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17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AF 282130 </w:t>
            </w:r>
          </w:p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581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2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53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Roseolovirus </w:t>
            </w:r>
          </w:p>
        </w:tc>
        <w:tc>
          <w:tcPr>
            <w:tcW w:type="dxa" w:w="4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69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Human herpesvirus 7 (HSV-7) </w:t>
            </w:r>
          </w:p>
        </w:tc>
        <w:tc>
          <w:tcPr>
            <w:tcW w:type="dxa" w:w="1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17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AF 037218 </w:t>
            </w:r>
          </w:p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430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80"/>
        </w:trPr>
        <w:tc>
          <w:tcPr>
            <w:tcW w:type="dxa" w:w="2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2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Lymphocryptovirus </w:t>
            </w:r>
          </w:p>
        </w:tc>
        <w:tc>
          <w:tcPr>
            <w:tcW w:type="dxa" w:w="4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71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Human herpesvirus 4(HSV-4) </w:t>
            </w:r>
          </w:p>
        </w:tc>
        <w:tc>
          <w:tcPr>
            <w:tcW w:type="dxa" w:w="1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1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NC 007605 </w:t>
            </w:r>
          </w:p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58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404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260"/>
        </w:trPr>
        <w:tc>
          <w:tcPr>
            <w:tcW w:type="dxa" w:w="22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Rhadinovirus </w:t>
            </w:r>
          </w:p>
        </w:tc>
        <w:tc>
          <w:tcPr>
            <w:tcW w:type="dxa" w:w="4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Murid herpesvirus 4 (MHV-4) </w:t>
            </w:r>
          </w:p>
        </w:tc>
        <w:tc>
          <w:tcPr>
            <w:tcW w:type="dxa" w:w="1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7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AF 105037 </w:t>
            </w:r>
          </w:p>
        </w:tc>
        <w:tc>
          <w:tcPr>
            <w:tcW w:type="dxa" w:w="10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38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644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  <w:tr>
        <w:trPr>
          <w:trHeight w:hRule="exact" w:val="452"/>
        </w:trPr>
        <w:tc>
          <w:tcPr>
            <w:tcW w:type="dxa" w:w="2282"/>
            <w:tcBorders>
              <w:bottom w:sz="11.2000000000000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0" w:right="85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Macavirus </w:t>
            </w:r>
          </w:p>
        </w:tc>
        <w:tc>
          <w:tcPr>
            <w:tcW w:type="dxa" w:w="4380"/>
            <w:tcBorders>
              <w:bottom w:sz="11.2000000000000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67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Ovine herpesvirus 2 (OvHV-2) </w:t>
            </w:r>
          </w:p>
        </w:tc>
        <w:tc>
          <w:tcPr>
            <w:tcW w:type="dxa" w:w="1520"/>
            <w:tcBorders>
              <w:bottom w:sz="11.2000000000000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15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AY 839756 </w:t>
            </w:r>
          </w:p>
        </w:tc>
        <w:tc>
          <w:tcPr>
            <w:tcW w:type="dxa" w:w="1038"/>
            <w:tcBorders>
              <w:bottom w:sz="11.2000000000000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24" w:after="0"/>
              <w:ind w:left="0" w:right="2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400</w:t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923"/>
            <w:vMerge/>
            <w:tcBorders>
              <w:top w:sz="12.0" w:val="single" w:color="#000000"/>
              <w:bottom w:sz="11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3" w:lineRule="auto" w:before="268" w:after="0"/>
        <w:ind w:left="202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3.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Results </w:t>
      </w:r>
    </w:p>
    <w:p>
      <w:pPr>
        <w:autoSpaceDN w:val="0"/>
        <w:autoSpaceDE w:val="0"/>
        <w:widowControl/>
        <w:spacing w:line="230" w:lineRule="auto" w:before="256" w:after="0"/>
        <w:ind w:left="202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3.1.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The character of DEV UL21 gene </w:t>
      </w:r>
    </w:p>
    <w:p>
      <w:pPr>
        <w:autoSpaceDN w:val="0"/>
        <w:tabs>
          <w:tab w:pos="484" w:val="left"/>
        </w:tabs>
        <w:autoSpaceDE w:val="0"/>
        <w:widowControl/>
        <w:spacing w:line="245" w:lineRule="auto" w:before="170" w:after="0"/>
        <w:ind w:left="202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complete open reading frame (ORF) of the DEV-UL21 gene was predicted to encode a polypeptide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containing  561 amino acids, and the corresponding amino acid sequence was showed below: </w:t>
      </w:r>
    </w:p>
    <w:p>
      <w:pPr>
        <w:autoSpaceDN w:val="0"/>
        <w:autoSpaceDE w:val="0"/>
        <w:widowControl/>
        <w:spacing w:line="245" w:lineRule="auto" w:before="240" w:after="0"/>
        <w:ind w:left="202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MEFHYWETINHNGVTFYITRDGMRAYFACGGCILSVPRPPENDSDTQAELAKFGIALRGITSGDLVLS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NYVRSELGRRGLKWIIGDGEVFIDSLDLLGHTSGSSERDLCGTNSGDGSTERDLCGALEVEVRDQCIA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EYMVSLEISSGLILSTGHIFSNYQVIKLYDVPIITNASSGFIYEPNRNAFALMQARLTSLPQSLAAMVDG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LFDRIAVRRRGVREETKQTDVIITGKRSFGTVLVKHGHGERHRGSGEGTLNTNDDCDITTTLHSRKHS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RRGARKTTVSSFVQVKYIPAVLNIWEYGAGNFKPTRSLGALWTVFCRIGDVVSQDISTWFGLEPEFN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DARARIGDAIEASFGNIGELFVGYSMGRSVSSAQKFALVQYILCKGGYPNCYPIIEHLCVSLSADSESF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PEPPRDIHLLVDTTNRLFRESCIIWASSVAILSTRVKQLRVATDEDDSVMDDAETLFEMATDLLDTAQ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EHQSIQLQRIARLASIIAEIYTTNDLMKTAIRTDRCFGNSYILNATIDAMCSSIFDEKCDIQKGVLTLGA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LIDRRLKNAGLLG* </w:t>
      </w:r>
    </w:p>
    <w:p>
      <w:pPr>
        <w:autoSpaceDN w:val="0"/>
        <w:autoSpaceDE w:val="0"/>
        <w:widowControl/>
        <w:spacing w:line="233" w:lineRule="auto" w:before="178" w:after="0"/>
        <w:ind w:left="202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3.2.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 The physic chemical properties of DEV UL21 gene product </w:t>
      </w:r>
    </w:p>
    <w:p>
      <w:pPr>
        <w:autoSpaceDN w:val="0"/>
        <w:autoSpaceDE w:val="0"/>
        <w:widowControl/>
        <w:spacing w:line="245" w:lineRule="auto" w:before="170" w:after="0"/>
        <w:ind w:left="202" w:right="516" w:firstLine="282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open reading frame (ORF) of the DEV UL21 gene is expected to encode a protein with formula being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2723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4313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765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841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24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containing 561 amino acids with a molecular mass of 61993.2 and an isoelectric point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(pI) of 5.49. The total number of negatively charged residues (Asp + Glu) is 70, and the positively charged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residues (Arg + Lys) is 57. The instability index (II) is computed to be 36.98, indicating that this classifies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protein as stable. </w:t>
      </w:r>
    </w:p>
    <w:p>
      <w:pPr>
        <w:autoSpaceDN w:val="0"/>
        <w:autoSpaceDE w:val="0"/>
        <w:widowControl/>
        <w:spacing w:line="245" w:lineRule="auto" w:before="10" w:after="0"/>
        <w:ind w:left="202" w:right="432" w:firstLine="282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Some information about the DEV UL21 protein were obtained by some online tools (shown in table I):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neither signal peptide nor transmembrane region was found in DEV UL21 protein the through online analysis; </w:t>
      </w:r>
    </w:p>
    <w:p>
      <w:pPr>
        <w:autoSpaceDN w:val="0"/>
        <w:autoSpaceDE w:val="0"/>
        <w:widowControl/>
        <w:spacing w:line="245" w:lineRule="auto" w:before="32" w:after="0"/>
        <w:ind w:left="144" w:right="432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Phosphorylation sites analysis showed that there are 27 potential phosphorylation sites</w:t>
      </w:r>
      <w:r>
        <w:rPr>
          <w:rFonts w:ascii="ËÎÌå" w:hAnsi="ËÎÌå" w:eastAsia="ËÎÌ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showed in Fig. 1a</w:t>
      </w:r>
      <w:r>
        <w:rPr>
          <w:rFonts w:ascii="ËÎÌå" w:hAnsi="ËÎÌå" w:eastAsia="ËÎÌ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the threshold is above 0.5, including serine 13, threonine 9, tyrosine 5; the DEV UL21 protein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hydrophobic amine acid district centered in aa 50-80, 120-170, 180-210, 280-300, 350-410, 420-440 and 480-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500 (shown in Fig.1b); NetNGlyc1.0 analysis shows DEV UL21 protein contains 3 potential N-linked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glycosylation sites at aa residues 2, 172, 522 when the threshold of prediction score is above 0.5 (shown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Fig.1c); Epitope analysis by Bepipred 1.0 server shows that DEV UL21 protein epitope was centred in aa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residue 36-49, 100-121, 178-183, 217-224, 244-263, 273-281, 303-310, 338-346, 405-416, 452-462 and 475-</w:t>
      </w:r>
    </w:p>
    <w:p>
      <w:pPr>
        <w:sectPr>
          <w:pgSz w:w="10885" w:h="14854"/>
          <w:pgMar w:top="368" w:right="648" w:bottom="812" w:left="624" w:header="720" w:footer="720" w:gutter="0"/>
          <w:cols w:space="720" w:num="1" w:equalWidth="0"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30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128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</w:p>
    <w:p>
      <w:pPr>
        <w:autoSpaceDN w:val="0"/>
        <w:autoSpaceDE w:val="0"/>
        <w:widowControl/>
        <w:spacing w:line="245" w:lineRule="auto" w:before="330" w:after="0"/>
        <w:ind w:left="188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480; the futhur analysis by using Protean program of DNAStar 7.1 (showed in Fig.1d); the analysis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UL21 protein subcellular localization indicates that it locates in cytoplasmic with 65.2%, nuclear with 17.4 % 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mitochondrial with 8.7%, vacuolar with 4.3% and vesicles of secretory system with 4.3%. </w:t>
      </w:r>
    </w:p>
    <w:p>
      <w:pPr>
        <w:autoSpaceDN w:val="0"/>
        <w:autoSpaceDE w:val="0"/>
        <w:widowControl/>
        <w:spacing w:line="245" w:lineRule="auto" w:before="10" w:after="172"/>
        <w:ind w:left="188" w:right="576" w:firstLine="284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prediction for DEV UL21 protein secondary structure is shown in Fig.2 and Fig3, the results suggest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of DEV UL21 protein consists of 44.56% Alpha helix (h), 13.55% extended strand (e) and 41.89%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random coil (c) respectively. The Alpha helix of DEV UL21 protein is mainly located at aa 65-77, 119-143,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184-214, 341-353, 371-380, 422-451, 458-509, 521-534 and 544-556, Extended strand is mainly at aa 2-9, 14-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19, 24-28, 295-300, 381-385, 393-403 and 417-421, the random coil are mainly situated in aa 36-44, 58-64,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97-107, 109-118, 215-254, 301-313, 404-415 and 534-543. However, there is no suitable template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modeling of tertiary structure of DEV UL21 protein could be found by CPHmodels-3.0 Server.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2.0" w:type="dxa"/>
      </w:tblPr>
      <w:tblGrid>
        <w:gridCol w:w="9729"/>
      </w:tblGrid>
      <w:tr>
        <w:trPr>
          <w:trHeight w:hRule="exact" w:val="7598"/>
        </w:trPr>
        <w:tc>
          <w:tcPr>
            <w:tcW w:type="dxa" w:w="9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ËÎÌå" w:hAnsi="ËÎÌå" w:eastAsia="ËÎÌå"/>
                <w:b w:val="0"/>
                <w:i w:val="0"/>
                <w:color w:val="000000"/>
                <w:sz w:val="24"/>
              </w:rPr>
              <w:t>�</w:t>
            </w:r>
            <w:r>
              <w:drawing>
                <wp:inline xmlns:a="http://schemas.openxmlformats.org/drawingml/2006/main" xmlns:pic="http://schemas.openxmlformats.org/drawingml/2006/picture">
                  <wp:extent cx="5210810" cy="472567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810" cy="4725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ËÎÌå" w:hAnsi="ËÎÌå" w:eastAsia="ËÎÌå"/>
                <w:b w:val="0"/>
                <w:i w:val="0"/>
                <w:color w:val="000000"/>
                <w:sz w:val="24"/>
              </w:rPr>
              <w:t>�</w:t>
            </w:r>
          </w:p>
          <w:p>
            <w:pPr>
              <w:autoSpaceDN w:val="0"/>
              <w:autoSpaceDE w:val="0"/>
              <w:widowControl/>
              <w:spacing w:line="185" w:lineRule="auto" w:before="0" w:after="0"/>
              <w:ind w:left="0" w:right="296" w:firstLine="0"/>
              <w:jc w:val="right"/>
            </w:pPr>
            <w:r>
              <w:rPr>
                <w:rFonts w:ascii="ËÎÌå" w:hAnsi="ËÎÌå" w:eastAsia="ËÎÌå"/>
                <w:b w:val="0"/>
                <w:i w:val="0"/>
                <w:color w:val="FF0000"/>
                <w:sz w:val="24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52" w:lineRule="auto" w:before="122" w:after="0"/>
        <w:ind w:left="188" w:right="72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1  A : The prediction result for potential phosphorylation sites of DEV UL21 protein.  B : The prediction result for hydrophilicity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domain of DEV UL21 protein, the hydrophilicity domain is in beneath with the score smaller than zero. C : Glycosylation sites of DEV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UL21 protein by NetNGlyc1.0  D : the epitope analysis of DEV UL21 protein by Protean program of DNAStar 7.1 </w:t>
      </w:r>
    </w:p>
    <w:p>
      <w:pPr>
        <w:sectPr>
          <w:pgSz w:w="10885" w:h="14854"/>
          <w:pgMar w:top="368" w:right="588" w:bottom="812" w:left="568" w:header="720" w:footer="720" w:gutter="0"/>
          <w:cols w:space="720" w:num="1" w:equalWidth="0">
            <w:col w:w="9730" w:space="0"/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6.0" w:type="dxa"/>
      </w:tblPr>
      <w:tblGrid>
        <w:gridCol w:w="3204"/>
        <w:gridCol w:w="3204"/>
        <w:gridCol w:w="3204"/>
      </w:tblGrid>
      <w:tr>
        <w:trPr>
          <w:trHeight w:hRule="exact" w:val="326"/>
        </w:trPr>
        <w:tc>
          <w:tcPr>
            <w:tcW w:type="dxa" w:w="8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214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Yong Shi et al. /  AASRI Procedia  1 ( 2012 )  124 – 135 </w:t>
            </w:r>
          </w:p>
        </w:tc>
        <w:tc>
          <w:tcPr>
            <w:tcW w:type="dxa" w:w="3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950" w:after="0"/>
              <w:ind w:left="12" w:right="0" w:firstLine="0"/>
              <w:jc w:val="left"/>
            </w:pPr>
            <w:r>
              <w:rPr>
                <w:rFonts w:ascii="ËÎÌå" w:hAnsi="ËÎÌå" w:eastAsia="ËÎÌå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129</w:t>
            </w:r>
          </w:p>
        </w:tc>
      </w:tr>
      <w:tr>
        <w:trPr>
          <w:trHeight w:hRule="exact" w:val="4924"/>
        </w:trPr>
        <w:tc>
          <w:tcPr>
            <w:tcW w:type="dxa" w:w="8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22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47640" cy="29527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9527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4"/>
            <w:vMerge/>
            <w:tcBorders/>
          </w:tcPr>
          <w:p/>
        </w:tc>
        <w:tc>
          <w:tcPr>
            <w:tcW w:type="dxa" w:w="320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7" w:lineRule="auto" w:before="122" w:after="378"/>
        <w:ind w:left="152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2 The prediction of secondary structure of  DEV UL21 protein by online tool. “h”= alpha helix;  “e” = extended strand;  “c”= random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coil.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6.0" w:type="dxa"/>
      </w:tblPr>
      <w:tblGrid>
        <w:gridCol w:w="4806"/>
        <w:gridCol w:w="4806"/>
      </w:tblGrid>
      <w:tr>
        <w:trPr>
          <w:trHeight w:hRule="exact" w:val="3398"/>
        </w:trPr>
        <w:tc>
          <w:tcPr>
            <w:tcW w:type="dxa" w:w="8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64760" cy="205867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760" cy="2058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098" w:after="0"/>
              <w:ind w:left="8" w:right="0" w:firstLine="0"/>
              <w:jc w:val="left"/>
            </w:pPr>
            <w:r>
              <w:rPr>
                <w:rFonts w:ascii="ËÎÌå" w:hAnsi="ËÎÌå" w:eastAsia="ËÎÌå"/>
                <w:b w:val="0"/>
                <w:i w:val="0"/>
                <w:color w:val="000000"/>
                <w:sz w:val="24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122" w:after="0"/>
        <w:ind w:left="15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3  The  prediction of  distribution of  secondary  structure of  DEV  UL21  protein. </w:t>
      </w:r>
    </w:p>
    <w:p>
      <w:pPr>
        <w:sectPr>
          <w:pgSz w:w="10885" w:h="14854"/>
          <w:pgMar w:top="368" w:right="648" w:bottom="812" w:left="624" w:header="720" w:footer="720" w:gutter="0"/>
          <w:cols w:space="720" w:num="1" w:equalWidth="0">
            <w:col w:w="9614" w:space="0"/>
            <w:col w:w="9730" w:space="0"/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30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130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</w:p>
    <w:p>
      <w:pPr>
        <w:autoSpaceDN w:val="0"/>
        <w:autoSpaceDE w:val="0"/>
        <w:widowControl/>
        <w:spacing w:line="230" w:lineRule="auto" w:before="342" w:after="184"/>
        <w:ind w:left="152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3.3.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Amino acid sequence comparison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2.00000000000003" w:type="dxa"/>
      </w:tblPr>
      <w:tblGrid>
        <w:gridCol w:w="4864"/>
        <w:gridCol w:w="4864"/>
      </w:tblGrid>
      <w:tr>
        <w:trPr>
          <w:trHeight w:hRule="exact" w:val="4834"/>
        </w:trPr>
        <w:tc>
          <w:tcPr>
            <w:tcW w:type="dxa" w:w="8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5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196840" cy="300862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40" cy="3008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592" w:after="0"/>
              <w:ind w:left="16" w:right="0" w:firstLine="0"/>
              <w:jc w:val="left"/>
            </w:pPr>
            <w:r>
              <w:rPr>
                <w:rFonts w:ascii="ËÎÌå" w:hAnsi="ËÎÌå" w:eastAsia="ËÎÌå"/>
                <w:b w:val="0"/>
                <w:i w:val="0"/>
                <w:color w:val="000000"/>
                <w:sz w:val="24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185" w:lineRule="auto" w:before="2" w:after="0"/>
        <w:ind w:left="0" w:right="5036" w:firstLine="0"/>
        <w:jc w:val="right"/>
      </w:pPr>
      <w:r>
        <w:rPr>
          <w:rFonts w:ascii="ËÎÌå" w:hAnsi="ËÎÌå" w:eastAsia="ËÎÌå"/>
          <w:b w:val="0"/>
          <w:i w:val="0"/>
          <w:color w:val="000000"/>
          <w:sz w:val="24"/>
        </w:rPr>
        <w:t>�</w:t>
      </w:r>
    </w:p>
    <w:p>
      <w:pPr>
        <w:autoSpaceDN w:val="0"/>
        <w:autoSpaceDE w:val="0"/>
        <w:widowControl/>
        <w:spacing w:line="230" w:lineRule="auto" w:before="28" w:after="0"/>
        <w:ind w:left="15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Fig. 4  Partly amino acid sequence comparison between the putative proteins encoded by DEV UL21 and other DEV strains( DEV UL21-</w:t>
      </w:r>
    </w:p>
    <w:p>
      <w:pPr>
        <w:autoSpaceDN w:val="0"/>
        <w:autoSpaceDE w:val="0"/>
        <w:widowControl/>
        <w:spacing w:line="230" w:lineRule="auto" w:before="0" w:after="0"/>
        <w:ind w:left="15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like strain and DEV VAC strain) . The amino acid distinction in same position is signed by pane. </w:t>
      </w:r>
    </w:p>
    <w:p>
      <w:pPr>
        <w:autoSpaceDN w:val="0"/>
        <w:autoSpaceDE w:val="0"/>
        <w:widowControl/>
        <w:spacing w:line="240" w:lineRule="auto" w:before="242" w:after="0"/>
        <w:ind w:left="5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94300" cy="28384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838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885" w:h="14854"/>
          <w:pgMar w:top="368" w:right="588" w:bottom="812" w:left="568" w:header="720" w:footer="720" w:gutter="0"/>
          <w:cols w:space="720" w:num="1" w:equalWidth="0"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315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131</w:t>
      </w:r>
    </w:p>
    <w:p>
      <w:pPr>
        <w:autoSpaceDN w:val="0"/>
        <w:autoSpaceDE w:val="0"/>
        <w:widowControl/>
        <w:spacing w:line="240" w:lineRule="auto" w:before="438" w:after="0"/>
        <w:ind w:left="67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66030" cy="23075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307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8" w:after="0"/>
        <w:ind w:left="58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176520" cy="195452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1954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36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Fig. 5  Multiple sequences alignment of  UL21 protein sequence of DEV, GaHV-2, GaHV-3, MeHV-1, HSV-1, EHV-1 and SuHV-1.The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conserved structural motifs that are characteristic of the protein are shadowed. </w:t>
      </w:r>
    </w:p>
    <w:p>
      <w:pPr>
        <w:autoSpaceDN w:val="0"/>
        <w:autoSpaceDE w:val="0"/>
        <w:widowControl/>
        <w:spacing w:line="245" w:lineRule="auto" w:before="178" w:after="0"/>
        <w:ind w:left="190" w:right="432" w:firstLine="282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Amino acid sequence comparison among different DEV strain shows that the sequences of DEV CHv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VAC strain are identical, the UL21-like strain are similar with them except aa position 268, 436, 447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respectively(shown in Figure 4). Multiple sequences alignment of UL21 protein sequences we selected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showed the conserved region of UL21 protein centred in aa 69-84, 93-103, 112-124, 174-189, 230-260, 274-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283 and 335-341.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3.4.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. Phylogenetic analysis about the UL21 protein sequence of  DEV and 25 referenceherpesviruses </w:t>
      </w:r>
    </w:p>
    <w:p>
      <w:pPr>
        <w:autoSpaceDN w:val="0"/>
        <w:autoSpaceDE w:val="0"/>
        <w:widowControl/>
        <w:spacing w:line="245" w:lineRule="auto" w:before="248" w:after="0"/>
        <w:ind w:left="190" w:right="528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phylogenetic tree wsa established based on UL21 protein sequence of DEV and those of 25 reference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herpesviruses (display in Fig.6). The result shows there are 4 mainly branches: Varicellovirus, Mardivirus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DEV in a large branches; Simplexvirus, and Iltovirus in a same branches; Betaherpesvirinae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Gammaherpesvirinae in other two branches respectively. The DEV are with MeHV-1, GaHV-2 and GaHV-3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a monophyletic clade. Protein sequence comparison(showed in Fig.7) by Clustal multiple revealed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DEV UL21 protein shares 26.4%, 27.3%, 26.2% similarity with GaHV-2, GaHV-3 , MeHV-1 and 33.0%, </w:t>
      </w:r>
    </w:p>
    <w:p>
      <w:pPr>
        <w:sectPr>
          <w:pgSz w:w="10885" w:h="14854"/>
          <w:pgMar w:top="368" w:right="648" w:bottom="756" w:left="624" w:header="720" w:footer="720" w:gutter="0"/>
          <w:cols w:space="720" w:num="1" w:equalWidth="0">
            <w:col w:w="9614" w:space="0"/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30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132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</w:p>
    <w:p>
      <w:pPr>
        <w:autoSpaceDN w:val="0"/>
        <w:autoSpaceDE w:val="0"/>
        <w:widowControl/>
        <w:spacing w:line="230" w:lineRule="auto" w:before="330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31.8%, 33.4%, 30.7% with EHV-1, EHV-4, EHV-9, FeHV-1, respectively. So we can conclude that the UL21 </w:t>
      </w:r>
    </w:p>
    <w:p>
      <w:pPr>
        <w:autoSpaceDN w:val="0"/>
        <w:autoSpaceDE w:val="0"/>
        <w:widowControl/>
        <w:spacing w:line="230" w:lineRule="auto" w:before="10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protein of  DEV is most closely related to Varicellovirus and Mardivirus. </w:t>
      </w:r>
    </w:p>
    <w:p>
      <w:pPr>
        <w:autoSpaceDN w:val="0"/>
        <w:autoSpaceDE w:val="0"/>
        <w:widowControl/>
        <w:spacing w:line="240" w:lineRule="auto" w:before="226" w:after="0"/>
        <w:ind w:left="10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16780" cy="28651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865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212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6  Evolutionary relationships of the putative DEV CHv UL21 protein with its 25 reference herpesviruses( Table 2). </w:t>
      </w:r>
    </w:p>
    <w:p>
      <w:pPr>
        <w:autoSpaceDN w:val="0"/>
        <w:autoSpaceDE w:val="0"/>
        <w:widowControl/>
        <w:spacing w:line="233" w:lineRule="auto" w:before="0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Phylogenetic tree of these proteins was generated by using the MegAlign program with Clustal V multiple alignment of </w:t>
      </w:r>
    </w:p>
    <w:p>
      <w:pPr>
        <w:autoSpaceDN w:val="0"/>
        <w:autoSpaceDE w:val="0"/>
        <w:widowControl/>
        <w:spacing w:line="230" w:lineRule="auto" w:before="0" w:after="36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DNAStar 7.1.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2.0" w:type="dxa"/>
      </w:tblPr>
      <w:tblGrid>
        <w:gridCol w:w="4864"/>
        <w:gridCol w:w="4864"/>
      </w:tblGrid>
      <w:tr>
        <w:trPr>
          <w:trHeight w:hRule="exact" w:val="4752"/>
        </w:trPr>
        <w:tc>
          <w:tcPr>
            <w:tcW w:type="dxa" w:w="8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41900" cy="293243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932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472" w:after="0"/>
              <w:ind w:left="10" w:right="0" w:firstLine="0"/>
              <w:jc w:val="left"/>
            </w:pPr>
            <w:r>
              <w:rPr>
                <w:rFonts w:ascii="ËÎÌå" w:hAnsi="ËÎÌå" w:eastAsia="ËÎÌå"/>
                <w:b w:val="0"/>
                <w:i w:val="0"/>
                <w:color w:val="000000"/>
                <w:sz w:val="24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0885" w:h="14854"/>
          <w:pgMar w:top="368" w:right="588" w:bottom="812" w:left="568" w:header="720" w:footer="720" w:gutter="0"/>
          <w:cols w:space="720" w:num="1" w:equalWidth="0"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315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133</w:t>
      </w:r>
    </w:p>
    <w:p>
      <w:pPr>
        <w:autoSpaceDN w:val="0"/>
        <w:autoSpaceDE w:val="0"/>
        <w:widowControl/>
        <w:spacing w:line="185" w:lineRule="auto" w:before="362" w:after="0"/>
        <w:ind w:left="0" w:right="4882" w:firstLine="0"/>
        <w:jc w:val="right"/>
      </w:pPr>
      <w:r>
        <w:rPr>
          <w:rFonts w:ascii="ËÎÌå" w:hAnsi="ËÎÌå" w:eastAsia="ËÎÌå"/>
          <w:b w:val="0"/>
          <w:i w:val="0"/>
          <w:color w:val="000000"/>
          <w:sz w:val="24"/>
        </w:rPr>
        <w:t>�</w:t>
      </w:r>
    </w:p>
    <w:p>
      <w:pPr>
        <w:autoSpaceDN w:val="0"/>
        <w:autoSpaceDE w:val="0"/>
        <w:widowControl/>
        <w:spacing w:line="245" w:lineRule="auto" w:before="34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Fig.7 Identify analysis of the UL21 protein sequences of DEV and other 25 alphaherpesviruses by using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DNAStar 7.1 multiple alignments. </w:t>
      </w:r>
    </w:p>
    <w:p>
      <w:pPr>
        <w:autoSpaceDN w:val="0"/>
        <w:autoSpaceDE w:val="0"/>
        <w:widowControl/>
        <w:spacing w:line="230" w:lineRule="auto" w:before="258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4.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Disccussion </w:t>
      </w:r>
    </w:p>
    <w:p>
      <w:pPr>
        <w:autoSpaceDN w:val="0"/>
        <w:autoSpaceDE w:val="0"/>
        <w:widowControl/>
        <w:spacing w:line="245" w:lineRule="auto" w:before="248" w:after="0"/>
        <w:ind w:left="190" w:right="526" w:firstLine="282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Previous reports about UL21 protein are mainly focused on the PRV and HSV-1.The UL21 protein is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tegument protein, and weakly associated with the capsid [13]. The deletion mutants which lacked the whole 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partly UL21 gene sequences, were proved that UL21 protein is dispensable for growth both in cultured cells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 in vivo[14-15,19]. There is a complex interaction between the UL16 and UL21 tegument proteins in PRV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HSV-1[15,20-23]. In addition, the PRV UL21 gene product associates with virulence, and package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pUL46, pUL49, and pUS3 efficiently[24]; the HSV-1 UL21 gene product associates with microtubules,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indicating that the UL21 protein may have function of transport. All above revealed UL21 product of HSV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PRV is a regulateing protein. The UL21gene is conserved among herpes virions[25], and we presumed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product of DEV UL21 gene may have similar function. </w:t>
      </w:r>
    </w:p>
    <w:p>
      <w:pPr>
        <w:autoSpaceDN w:val="0"/>
        <w:autoSpaceDE w:val="0"/>
        <w:widowControl/>
        <w:spacing w:line="245" w:lineRule="auto" w:before="8" w:after="0"/>
        <w:ind w:left="190" w:right="528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There are few reports about UL21 protein of DEV, so we study the DEV UL21 protein predicted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information base on bioinformatics software and online tools. DEV UL21 protein doesn’t contain the signal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peptide and the transembrance region, suggesting the protein is not secreted protein or membrane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glycoprotein. Protein phosphorylation on serine, threonine, and tyrosine(Ser/Thr/Tyr) is generally considered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major regulatory posttranslational modification functional in prokaryotes[26]. There are 27 potential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phosphorylation sites were found in DEV UL21 protein, which may associates wich regulateing function ,and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apparent molecular mass may be more than predicted value 61993.2. The analysis of the UL21 protein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subcellular localization indicates that the UL21 gene product of DEV could both local in cytoplasmic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nuclear, which is similar with PRV and HSV-1 protein[13-14,17]. </w:t>
      </w:r>
    </w:p>
    <w:p>
      <w:pPr>
        <w:autoSpaceDN w:val="0"/>
        <w:autoSpaceDE w:val="0"/>
        <w:widowControl/>
        <w:spacing w:line="245" w:lineRule="auto" w:before="10" w:after="0"/>
        <w:ind w:left="190" w:right="526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secondary structure is related with protein function. The alpha helix of the protein have higher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chemical bonding energy, can firmly maintain proteinic higher structure. The alpha helix of the protein plays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important role in DNA binding motifs, but it seldom become B cell epitopes because it is difficult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gomphosis antibody better, and usually locates at protein interior. Extended strand and random coil are more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noncohesive flexibility structures and always include B cell dominant epitopes, because they are more loosen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texture, which are easy to generate retortion and stretch out of the proteinic surface and gomphosis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antibody[27-29]. DEV UL21 protein consists of 44.56% Alpha helix (h), 13.55% extended strand (e)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41.89% random coil (c) respectively, indicating more extended strand and random coil structure may contain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certain B cell epitopes. Previous results suggest that herpes simplex tegument proteins are processed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antigen presentation in vivo and are possible candidate compounds for herpes simplex vaccines[30], about 20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main antigenic determinants in epitope analysis further suggests that UL21 protein is possible candidate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compounds for  DEV vaccines to the prevention and diagnosis of the duck virus enteritis. </w:t>
      </w:r>
    </w:p>
    <w:p>
      <w:pPr>
        <w:autoSpaceDN w:val="0"/>
        <w:autoSpaceDE w:val="0"/>
        <w:widowControl/>
        <w:spacing w:line="245" w:lineRule="auto" w:before="10" w:after="0"/>
        <w:ind w:left="190" w:right="528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Amino acid sequence comparison among different DEV strain shows that there may be light difference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UL21 protein among different DEV strains. We presumed the difference of identical gene may cause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virulence diversity. The result of multiple sequences alignment of UL21 protein sequence of DEV, GaHV-2,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GaHV-3, MeHV-1, HSV-1, EHV-1 and SuHV-1 supports that UL21 gene is conserved among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Alphaherpesvirinae at least. </w:t>
      </w:r>
    </w:p>
    <w:p>
      <w:pPr>
        <w:autoSpaceDN w:val="0"/>
        <w:autoSpaceDE w:val="0"/>
        <w:widowControl/>
        <w:spacing w:line="245" w:lineRule="auto" w:before="10" w:after="0"/>
        <w:ind w:left="190" w:right="526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From Fig.6, the established phylogenetic tree based on DEV CHv UL21 protein with its 25 reference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herpesviruses and cluster analysis results show DEV has a close evolutionary relationship with GaHV-2,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GaHV-3, MeHV-1, which belong to Mardivirus, but protein sequence comparison showed in Fig.7 revealed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similarity between DEV UL21 protein and Varicellovirus (including EHV-1, EHV-4, EHV-9 and FeHV-1)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higher than those between Mardivirus. It has reported DEV dUTPase gene product, gI, UL15, UL27, UL35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UL55 proteins also have a close relationship with Mardivirus[10,31-35], we presumed DEV may be one </w:t>
      </w:r>
    </w:p>
    <w:p>
      <w:pPr>
        <w:sectPr>
          <w:pgSz w:w="10885" w:h="14854"/>
          <w:pgMar w:top="368" w:right="648" w:bottom="812" w:left="624" w:header="720" w:footer="720" w:gutter="0"/>
          <w:cols w:space="720" w:num="1" w:equalWidth="0">
            <w:col w:w="9614" w:space="0"/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530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134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</w:p>
    <w:p>
      <w:pPr>
        <w:autoSpaceDN w:val="0"/>
        <w:autoSpaceDE w:val="0"/>
        <w:widowControl/>
        <w:spacing w:line="245" w:lineRule="auto" w:before="330" w:after="0"/>
        <w:ind w:left="188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member of  Mardivirus or belong to an individual genus within the Alphaherpesvirinae subfamily based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these results. More researches are required to define which genus of  herpesvirus the DEV belongs to. </w:t>
      </w:r>
    </w:p>
    <w:p>
      <w:pPr>
        <w:autoSpaceDN w:val="0"/>
        <w:autoSpaceDE w:val="0"/>
        <w:widowControl/>
        <w:spacing w:line="245" w:lineRule="auto" w:before="10" w:after="0"/>
        <w:ind w:left="188" w:right="648" w:firstLine="284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short, bioinformatics analysis of DEV UL21 protein by some software and online tools provides some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important information about the molecular characteristics. Our work provided some basic information for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further DEV UL21 protein research. </w:t>
      </w:r>
    </w:p>
    <w:p>
      <w:pPr>
        <w:autoSpaceDN w:val="0"/>
        <w:autoSpaceDE w:val="0"/>
        <w:widowControl/>
        <w:spacing w:line="230" w:lineRule="auto" w:before="262" w:after="0"/>
        <w:ind w:left="188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Acknowledgment </w:t>
      </w:r>
    </w:p>
    <w:p>
      <w:pPr>
        <w:autoSpaceDN w:val="0"/>
        <w:autoSpaceDE w:val="0"/>
        <w:widowControl/>
        <w:spacing w:line="245" w:lineRule="auto" w:before="268" w:after="0"/>
        <w:ind w:left="190" w:right="644" w:firstLine="282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research was supported by China 973 program</w:t>
      </w:r>
      <w:r>
        <w:rPr>
          <w:rFonts w:ascii="ËÎÌå" w:hAnsi="ËÎÌå" w:eastAsia="ËÎÌ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2011CB111606, China Agricultural Research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System(CARS-43-8), Changjiang Scholars and Innovative Research Team in University(PCSIRT0848)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National science and technology support program for agriculture</w:t>
      </w:r>
      <w:r>
        <w:rPr>
          <w:rFonts w:ascii="ËÎÌå" w:hAnsi="ËÎÌå" w:eastAsia="ËÎÌ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2011BAD34B03</w:t>
      </w:r>
      <w:r>
        <w:rPr>
          <w:rFonts w:ascii="ËÎÌå" w:hAnsi="ËÎÌå" w:eastAsia="ËÎÌ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An-chun Cheng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Ming-shu Wang are the corresponding authors. Institute of Preventive Veterinary Medicine, Sichuan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Agricultural University, Wenjiang, Chengdu city, Sichuan, 611130, P.R.China. Avian Disease Research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Center, College of Veterinary Medicine of Sichuan Agricultural University, 46# Xinkang Road, Ya’an,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Sichuan 625014, P.R. China.Key Laboratory of Animal Disease and Human Health of Sichuan Province,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Sichuan Agricultural University, Wenjiang, Chengdu city, Sichuan, 611130, P.R.China.. Tel.: +86 835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2885774; fax: +86 835 2885774; E-mail address: chenganchun@vip.163.com (A. Cheng); mshwang@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163.com (M. Wang). </w:t>
      </w:r>
    </w:p>
    <w:p>
      <w:pPr>
        <w:autoSpaceDN w:val="0"/>
        <w:autoSpaceDE w:val="0"/>
        <w:widowControl/>
        <w:spacing w:line="230" w:lineRule="auto" w:before="262" w:after="0"/>
        <w:ind w:left="190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46" w:after="0"/>
        <w:ind w:left="188" w:right="576" w:firstLine="2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[1] Thomas N. Tully,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Gerry M. Dorrestein, Saunders Ltd.  .Waterfowl. Handbook of avian medicine (Second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Edition), USA: Saunders Ltd,2009. </w:t>
      </w:r>
    </w:p>
    <w:p>
      <w:pPr>
        <w:autoSpaceDN w:val="0"/>
        <w:autoSpaceDE w:val="0"/>
        <w:widowControl/>
        <w:spacing w:line="245" w:lineRule="auto" w:before="10" w:after="0"/>
        <w:ind w:left="188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[2] Sandhu TS, Metwally SA. Diseases of  poultry.Blackwell Publishing, 2008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[3] Fauquet CM, Mayo MA, Maniloff J . Virus Taxonomy: Eighth report of the international committee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taxonomy of viruses, Elsevier Academic Press, California, 2005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[4] Yang F, Jia WX, Yue H, et al. Development of quantitative real-time polymerase chain reaction for duck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enteritis virus DNA.  Avian Dis,AAAP.San Jose Blvd  2005:49:397-400,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[5] Jia RY, Cheng AC, Wang MS, et al. Studies on ultrastructure of duck enteritis virus chv virulent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strain”,Chinese J.Virol 2007:23:202-6,. </w:t>
      </w:r>
    </w:p>
    <w:p>
      <w:pPr>
        <w:autoSpaceDN w:val="0"/>
        <w:autoSpaceDE w:val="0"/>
        <w:widowControl/>
        <w:spacing w:line="245" w:lineRule="auto" w:before="6" w:after="0"/>
        <w:ind w:left="188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[6] Yuan GP, Cheng AC, Wang MS, et al. Electron microscopic studies of the morphogenesis of duck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enteritis virus”,Avian Dis, AAAP, San Jose Blvd 2005:49:50-5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[7] Pan H, Cao R, Liu L, et al. Prokaryotic expression of N-terminal antigenic domain of duck plague virus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gB protein and the establishment of putative indirect ELISA assay. Wei Sheng Wu Xue Bao. 2008:48:98-102.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[8] Xie W, Cheng AC, Wang MS. Expression and characterization of the UL31 protein from duck enteritis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virus. Virology Journal 2009:6, doi:10.1186/1743-422X-6-19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[9] Xiang J, Cheng AC, Wang MS.Molecular Cloning and sequence analysis of the Duck Enteritis Virus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Nucleocapsid Gene UL38. Biomedical Engineering and Informatics, 2009. BMEI '09. 2nd International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Conference on, 17-19 Oct. 2009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[10] Li LJ, Cheng AC, Wang MS.Molecular Cloning and sequence analysis of the Duck Plague Virus gI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Gene, Bioinformatics and Biomedical Engineering (iCBBE), 2010 4th International Conference on, 18-20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June 2010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[11] Valerio V, Eve D. Determination of  Interactions between tegument proteins of herpes simplex virus type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1. Journal of virology 2005:79:9566–71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[12] Li YF , Huang B.Molecular characterization of the genome of duck enteritis virus. Virology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2009:391:151–61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[13] Hiroki Takakuwa, Fumi Goshima .Herpes simplex virus encodes a virion-associated protein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promotes long cellular processes in overexpressing cells.Genes to Cells 2001: 6 : 6955-66 </w:t>
      </w:r>
    </w:p>
    <w:p>
      <w:pPr>
        <w:sectPr>
          <w:pgSz w:w="10885" w:h="14854"/>
          <w:pgMar w:top="368" w:right="588" w:bottom="812" w:left="568" w:header="720" w:footer="720" w:gutter="0"/>
          <w:cols w:space="720" w:num="1" w:equalWidth="0"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730" w:space="0"/>
            <w:col w:w="9614" w:space="0"/>
            <w:col w:w="96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3154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Yong Shi et al. /  AASRI Procedia  1 ( 2012 )  124 – 135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135</w:t>
      </w:r>
    </w:p>
    <w:p>
      <w:pPr>
        <w:autoSpaceDN w:val="0"/>
        <w:autoSpaceDE w:val="0"/>
        <w:widowControl/>
        <w:spacing w:line="245" w:lineRule="auto" w:before="332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[14] Baines JD, Koyama AH, Huang T, et al. The UL21 gene products of herpes simplex virus1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dispensable for growth in cultured cells. Virol.,1994:68: 2929-36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[15] Klupp BG, Bottcher S, Granzowet H ,et al. Complex formation between the UL16 and UL21 Tegument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Proteins of Pseudorabies Virus. Journal of virology 2005:79 : 1510–22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[16] Klupp BG, Lomniczi B, Visser N, et al. Mutations affecting the UL21 gene contribute to avirulence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pseudorabies virus vaccine strain Bartha. Virology 1995: 212:466-73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[17] Wind DN., Wagenaar F, Pol J, et al. The pseudorabies virus homology of the herpes simplex virus UL21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gene product is acapsid protein which is involved in capsid maturation. Virol 1992:66 : 7096-103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[18] Klop RF, Klupp BG, Fuchs W, et al.  Influence of Pseudorabies Virus Proteins on Neuroinvasion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Neurovirulence in Mice. Journal of virology 2006:80 : 5571–6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[19] Frans W, Jan MA. Deletion of the UL21 gene in Pseudorabies virus results in the formation of DNA-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deprived capsids:an electron microscopy study.Vet. Res,2001: 32:47–54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[20] Amy LH, David G. Meckes Jr, et al. Interaction domains of the UL16 and UL21 tegument proteins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herpes simplex virus. Journal of virology, 2010:84 :2963–71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[21] Pei CY, David G. Meckes, Jr, et al. Analysis of the interaction between the UL11 and UL16 tegument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proteins of herpes simplex virus. Journal of virology 2008:82: 10693–700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[22] David G, Meckes Jr., Jacob AM, et al .Complex mechanisms for the packaging of the UL16 tegument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protein into herpes simplex virus. Virology  2010:398:208–13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[23] David G, Meckes, Jr., John WW. Dynamic Interactions of the UL16 Tegument Protein with the Capsid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Herpes Simplex Virus. Journal of virology  2007:81: 13028-36 </w:t>
      </w:r>
    </w:p>
    <w:p>
      <w:pPr>
        <w:autoSpaceDN w:val="0"/>
        <w:autoSpaceDE w:val="0"/>
        <w:widowControl/>
        <w:spacing w:line="245" w:lineRule="auto" w:before="32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[24] Michael K</w:t>
      </w:r>
      <w:r>
        <w:rPr>
          <w:rFonts w:ascii="ËÎÌå" w:hAnsi="ËÎÌå" w:eastAsia="ËÎÌå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Klupp BG, Karger A, et al. Efficient Incorporation of Tegument Proteins pUL46, pUL49,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pUS3 into Pseudorabies Virus Particles Depends on the Presence of pUL21.  Journal of virology 2007: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81 :1048-51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[25] Barbara J. Kellya, Cornel Fraefelb, Anthony L. Functional roles of the tegument proteins of herpes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simplex virus type 1. Virus Research  2009: 145: 173-86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[26] Macek B, Gnad F, Soufi B. Phosphoproteome analysis of E. coli reveals evolutionary conservation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bacterial Ser/Thr/Tyr Phosphorylation. Biochemistry and Molecular Biology,2007:7:299-307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[27] Xu C,.Li XR, Xin HY, et al. Cloning and molecular characterization of gC gene of duck plague virus.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Chinese Veterinary Science 2008:38:1038-44. </w:t>
      </w:r>
    </w:p>
    <w:p>
      <w:pPr>
        <w:autoSpaceDN w:val="0"/>
        <w:autoSpaceDE w:val="0"/>
        <w:widowControl/>
        <w:spacing w:line="233" w:lineRule="auto" w:before="6" w:after="6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[28] Sun T, Cheng AC, Wang MS,  et al. Prediction of epitopes on B cell of UL6 gene of duck enteritis virus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  <w:gridCol w:w="874"/>
      </w:tblGrid>
      <w:tr>
        <w:trPr>
          <w:trHeight w:hRule="exact" w:val="230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prokaryotic 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expression 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of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major 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antigen 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determinant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sequence.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Veterinary 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Science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in </w:t>
            </w:r>
          </w:p>
        </w:tc>
      </w:tr>
    </w:tbl>
    <w:p>
      <w:pPr>
        <w:autoSpaceDN w:val="0"/>
        <w:autoSpaceDE w:val="0"/>
        <w:widowControl/>
        <w:spacing w:line="245" w:lineRule="auto" w:before="4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China .2008:.38:939-45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[29]Barlow DJ, Edwards MS ,Thornton JM. Continuous and discontinuous protein antigenic determinants. </w:t>
      </w:r>
    </w:p>
    <w:p>
      <w:pPr>
        <w:autoSpaceDN w:val="0"/>
        <w:autoSpaceDE w:val="0"/>
        <w:widowControl/>
        <w:spacing w:line="245" w:lineRule="auto" w:before="10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Nature 1986:322:747-48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[30] David  MK..Recognition of  Herpes Simplex Virus Type 2 Tegument Proteins by CD4 T Cells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Infiltrating Human Genital Herpes Lesions. Journal of virology1998:72:7476-83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[31] Zhao LC, Cheng AC, Wang MS ,et al.Characterization of codon usage bias in the dUTPase gene of duck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enteritis virus,” Progress in Natural Science 18 (2008) 1069–1076. </w:t>
      </w:r>
    </w:p>
    <w:p>
      <w:pPr>
        <w:autoSpaceDN w:val="0"/>
        <w:autoSpaceDE w:val="0"/>
        <w:widowControl/>
        <w:spacing w:line="245" w:lineRule="auto" w:before="10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[32] Cai  MS, Cheng AC, Wang MS, et al. Characterization of synonymous codon usage bias in the Duck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Plague virus UL35 Gene,Intervirology 2009;52:266–278. </w:t>
      </w:r>
    </w:p>
    <w:p>
      <w:pPr>
        <w:autoSpaceDN w:val="0"/>
        <w:autoSpaceDE w:val="0"/>
        <w:widowControl/>
        <w:spacing w:line="230" w:lineRule="auto" w:before="8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[33] Jiang L, Lin D, Cheng AC, et al. Bioinformatic analysis of  UL27 gene of Duck Plague Virus CHv Strain. </w:t>
      </w:r>
    </w:p>
    <w:p>
      <w:pPr>
        <w:autoSpaceDN w:val="0"/>
        <w:autoSpaceDE w:val="0"/>
        <w:widowControl/>
        <w:spacing w:line="245" w:lineRule="auto" w:before="10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Bioinformatics and Biomedical Engineering (iCBBE), 2010 4th International Conference on, 2010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[34] Zhu HG, Li HX, Han ZX. Identification of a spliced gene from duck enteritis virus encoding a protein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homologous to UL15 of herpes simplex virus 1. Virology Journal 2011, 8:156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[35] Wu Y, Cheng AC, Wang MS. Molecular characterization analysis of  newly identified Duck Enteritis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Virus UL55 Gene. Bioinformatics and Biomedical Engineering (iCBBE), 2010 4th International Conference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on, 18-20 June 2010 </w:t>
      </w:r>
    </w:p>
    <w:sectPr w:rsidR="00FC693F" w:rsidRPr="0006063C" w:rsidSect="00034616">
      <w:pgSz w:w="10885" w:h="14854"/>
      <w:pgMar w:top="368" w:right="648" w:bottom="812" w:left="624" w:header="720" w:footer="720" w:gutter="0"/>
      <w:cols w:space="720" w:num="1" w:equalWidth="0">
        <w:col w:w="9614" w:space="0"/>
        <w:col w:w="9730" w:space="0"/>
        <w:col w:w="9614" w:space="0"/>
        <w:col w:w="9730" w:space="0"/>
        <w:col w:w="9614" w:space="0"/>
        <w:col w:w="9730" w:space="0"/>
        <w:col w:w="9614" w:space="0"/>
        <w:col w:w="9730" w:space="0"/>
        <w:col w:w="9614" w:space="0"/>
        <w:col w:w="9730" w:space="0"/>
        <w:col w:w="9614" w:space="0"/>
        <w:col w:w="96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