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7429500</wp:posOffset>
            </wp:positionV>
            <wp:extent cx="2349500" cy="533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53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4782820</wp:posOffset>
            </wp:positionH>
            <wp:positionV relativeFrom="page">
              <wp:posOffset>885190</wp:posOffset>
            </wp:positionV>
            <wp:extent cx="652779" cy="82624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779" cy="8262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4775200</wp:posOffset>
            </wp:positionH>
            <wp:positionV relativeFrom="page">
              <wp:posOffset>876300</wp:posOffset>
            </wp:positionV>
            <wp:extent cx="660400" cy="8382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838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64" w:lineRule="exact" w:before="92" w:after="190"/>
        <w:ind w:left="618" w:right="0" w:firstLine="0"/>
        <w:jc w:val="left"/>
      </w:pPr>
      <w:r>
        <w:rPr>
          <w:rFonts w:ascii="AdvTimes" w:hAnsi="AdvTimes" w:eastAsia="AdvTimes"/>
          <w:b w:val="0"/>
          <w:i w:val="0"/>
          <w:color w:val="000066"/>
          <w:sz w:val="16"/>
        </w:rPr>
        <w:hyperlink r:id="rId9" w:history="1">
          <w:r>
            <w:rPr>
              <w:rStyle w:val="Hyperlink"/>
            </w:rPr>
            <w:t>Applied Computing and Informatics (2011)</w:t>
          </w:r>
        </w:hyperlink>
      </w:r>
      <w:r>
        <w:rPr>
          <w:rFonts w:ascii="AdvTimes" w:hAnsi="AdvTimes" w:eastAsia="AdvTimes"/>
          <w:b w:val="0"/>
          <w:i w:val="0"/>
          <w:color w:val="000066"/>
          <w:sz w:val="16"/>
        </w:rPr>
        <w:hyperlink r:id="rId9" w:history="1">
          <w:r>
            <w:rPr>
              <w:rStyle w:val="Hyperlink"/>
            </w:rPr>
            <w:t xml:space="preserve"> 9</w:t>
          </w:r>
        </w:hyperlink>
      </w:r>
      <w:r>
        <w:rPr>
          <w:rFonts w:ascii="AdvTimes" w:hAnsi="AdvTimes" w:eastAsia="AdvTimes"/>
          <w:b w:val="0"/>
          <w:i w:val="0"/>
          <w:color w:val="000066"/>
          <w:sz w:val="16"/>
        </w:rPr>
        <w:hyperlink r:id="rId9" w:history="1">
          <w:r>
            <w:rPr>
              <w:rStyle w:val="Hyperlink"/>
            </w:rPr>
            <w:t>, 79</w:t>
          </w:r>
        </w:hyperlink>
      </w:r>
      <w:r>
        <w:rPr>
          <w:rFonts w:ascii="AdvNEWPSTim" w:hAnsi="AdvNEWPSTim" w:eastAsia="AdvNEWPSTim"/>
          <w:b w:val="0"/>
          <w:i w:val="0"/>
          <w:color w:val="000066"/>
          <w:sz w:val="16"/>
        </w:rPr>
        <w:t>–</w:t>
      </w:r>
      <w:r>
        <w:rPr>
          <w:rFonts w:ascii="AdvTimes" w:hAnsi="AdvTimes" w:eastAsia="AdvTimes"/>
          <w:b w:val="0"/>
          <w:i w:val="0"/>
          <w:color w:val="000066"/>
          <w:sz w:val="16"/>
        </w:rPr>
        <w:hyperlink r:id="rId9" w:history="1">
          <w:r>
            <w:rPr>
              <w:rStyle w:val="Hyperlink"/>
            </w:rPr>
            <w:t>82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8.0" w:type="dxa"/>
      </w:tblPr>
      <w:tblGrid>
        <w:gridCol w:w="4145"/>
        <w:gridCol w:w="4145"/>
      </w:tblGrid>
      <w:tr>
        <w:trPr>
          <w:trHeight w:hRule="exact" w:val="1624"/>
        </w:trPr>
        <w:tc>
          <w:tcPr>
            <w:tcW w:type="dxa" w:w="1476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40410" cy="8280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10" cy="8280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74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174"/>
            </w:tblGrid>
            <w:tr>
              <w:trPr>
                <w:trHeight w:hRule="exact" w:val="476"/>
              </w:trPr>
              <w:tc>
                <w:tcPr>
                  <w:tcW w:type="dxa" w:w="4758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176" w:after="0"/>
                    <w:ind w:left="0" w:right="1162" w:firstLine="0"/>
                    <w:jc w:val="right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24"/>
                    </w:rPr>
                    <w:t>King Saud University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8" w:lineRule="exact" w:before="64" w:after="56"/>
              <w:ind w:left="27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8"/>
              </w:rPr>
              <w:t>Applied Computing and Informatics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96.0" w:type="dxa"/>
            </w:tblPr>
            <w:tblGrid>
              <w:gridCol w:w="6174"/>
            </w:tblGrid>
            <w:tr>
              <w:trPr>
                <w:trHeight w:hRule="exact" w:val="414"/>
              </w:trPr>
              <w:tc>
                <w:tcPr>
                  <w:tcW w:type="dxa" w:w="3860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54" w:after="0"/>
                    <w:ind w:left="720" w:right="144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 xml:space="preserve">www.ksu.edu.sa </w:t>
                  </w:r>
                  <w:r>
                    <w:br/>
                  </w:r>
                  <w:r>
                    <w:rPr>
                      <w:rFonts w:ascii="AdvTimes" w:hAnsi="AdvTimes" w:eastAsia="AdvTimes"/>
                      <w:b w:val="0"/>
                      <w:i w:val="0"/>
                      <w:color w:val="000066"/>
                      <w:sz w:val="16"/>
                    </w:rPr>
                    <w:hyperlink r:id="rId11" w:history="1">
                      <w:r>
                        <w:rPr>
                          <w:rStyle w:val="Hyperlink"/>
                        </w:rPr>
                        <w:t>www.sciencedirect.com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8" w:lineRule="exact" w:before="236" w:after="0"/>
        <w:ind w:left="61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4"/>
        </w:rPr>
        <w:t>BOOK REVIEWS</w:t>
      </w:r>
    </w:p>
    <w:p>
      <w:pPr>
        <w:autoSpaceDN w:val="0"/>
        <w:autoSpaceDE w:val="0"/>
        <w:widowControl/>
        <w:spacing w:line="220" w:lineRule="exact" w:before="504" w:after="0"/>
        <w:ind w:left="61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Review of books in the area of User Interface Design</w:t>
      </w:r>
    </w:p>
    <w:p>
      <w:pPr>
        <w:autoSpaceDN w:val="0"/>
        <w:autoSpaceDE w:val="0"/>
        <w:widowControl/>
        <w:spacing w:line="258" w:lineRule="exact" w:before="530" w:after="0"/>
        <w:ind w:left="618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User interface design or user interface engineering is the design of computers,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mobile communication devices, software applications, websites with the focus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on the user’s experience and interaction. The goal of user interface design is to im-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prove users experience with simplicity and efficiency while keeping the design ergo-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nomically sound. In literature this phenomenon is known as ‘‘User Centered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Design’’. The term user friendly is often used as a synonym for usability which de-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notes the ease with which people can employ a particular tool or other human-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made object in order to achieve a particular goal.</w:t>
      </w:r>
    </w:p>
    <w:p>
      <w:pPr>
        <w:autoSpaceDN w:val="0"/>
        <w:autoSpaceDE w:val="0"/>
        <w:widowControl/>
        <w:spacing w:line="260" w:lineRule="exact" w:before="0" w:after="0"/>
        <w:ind w:left="618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key benefits of usability are increased user efficiency and productivity,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reduced development costs and most importantly increased customer satisfaction.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improved interface would also tend to lower the time needed to perform nec-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essary tasks. Usability is now recognized as an important software quality attri-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bute, earning its place among more traditional attributes such as performance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and robustness. Indeed, various academic programs in Information technology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and software development around the globe focus on usability design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engineering.</w:t>
      </w:r>
    </w:p>
    <w:p>
      <w:pPr>
        <w:autoSpaceDN w:val="0"/>
        <w:tabs>
          <w:tab w:pos="856" w:val="left"/>
        </w:tabs>
        <w:autoSpaceDE w:val="0"/>
        <w:widowControl/>
        <w:spacing w:line="258" w:lineRule="exact" w:before="2" w:after="0"/>
        <w:ind w:left="618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Here we review recently published popular books in the area of User Interface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Design.</w:t>
      </w:r>
    </w:p>
    <w:p>
      <w:pPr>
        <w:autoSpaceDN w:val="0"/>
        <w:autoSpaceDE w:val="0"/>
        <w:widowControl/>
        <w:spacing w:line="258" w:lineRule="exact" w:before="216" w:after="0"/>
        <w:ind w:left="618" w:right="0" w:firstLine="238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Helen Sharp, Yvonne Rogers and Jenny Preece, Interaction Design: Beyond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Human-Computer Interaction, Publisher: Wiley; 2 edition (March 23, 2007),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ISBN-13: 978-0470018668</w:t>
      </w:r>
    </w:p>
    <w:p>
      <w:pPr>
        <w:autoSpaceDN w:val="0"/>
        <w:autoSpaceDE w:val="0"/>
        <w:widowControl/>
        <w:spacing w:line="260" w:lineRule="exact" w:before="158" w:after="298"/>
        <w:ind w:left="618" w:right="0" w:firstLine="238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Beyond Interaction Design is an important book for designing effective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capable interfaces to software applications. The book provides a comprehensive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2.0" w:type="dxa"/>
      </w:tblPr>
      <w:tblGrid>
        <w:gridCol w:w="1036"/>
        <w:gridCol w:w="1036"/>
        <w:gridCol w:w="1036"/>
        <w:gridCol w:w="1036"/>
        <w:gridCol w:w="1036"/>
        <w:gridCol w:w="1036"/>
        <w:gridCol w:w="1036"/>
        <w:gridCol w:w="1036"/>
      </w:tblGrid>
      <w:tr>
        <w:trPr>
          <w:trHeight w:hRule="exact" w:val="920"/>
        </w:trPr>
        <w:tc>
          <w:tcPr>
            <w:tcW w:type="dxa" w:w="358"/>
            <w:tcBorders>
              <w:top w:sz="3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Peer</w:t>
            </w:r>
          </w:p>
        </w:tc>
        <w:tc>
          <w:tcPr>
            <w:tcW w:type="dxa" w:w="580"/>
            <w:tcBorders>
              <w:top w:sz="3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review</w:t>
            </w:r>
          </w:p>
        </w:tc>
        <w:tc>
          <w:tcPr>
            <w:tcW w:type="dxa" w:w="520"/>
            <w:vMerge w:val="restart"/>
            <w:tcBorders>
              <w:top w:sz="3.6319999694824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under</w:t>
            </w:r>
          </w:p>
        </w:tc>
        <w:tc>
          <w:tcPr>
            <w:tcW w:type="dxa" w:w="1060"/>
            <w:vMerge w:val="restart"/>
            <w:tcBorders>
              <w:top w:sz="3.6319999694824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responsibility</w:t>
            </w:r>
          </w:p>
        </w:tc>
        <w:tc>
          <w:tcPr>
            <w:tcW w:type="dxa" w:w="280"/>
            <w:vMerge w:val="restart"/>
            <w:tcBorders>
              <w:top w:sz="3.6319999694824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480"/>
            <w:vMerge w:val="restart"/>
            <w:tcBorders>
              <w:top w:sz="3.6319999694824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King</w:t>
            </w:r>
          </w:p>
        </w:tc>
        <w:tc>
          <w:tcPr>
            <w:tcW w:type="dxa" w:w="1514"/>
            <w:vMerge w:val="restart"/>
            <w:tcBorders>
              <w:top w:sz="3.6319999694824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0" w:after="0"/>
              <w:ind w:left="6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Saud</w:t>
            </w:r>
          </w:p>
        </w:tc>
        <w:tc>
          <w:tcPr>
            <w:tcW w:type="dxa" w:w="2586"/>
            <w:vMerge w:val="restart"/>
            <w:tcBorders>
              <w:top w:sz="3.6319999694824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4"/>
              </w:rPr>
              <w:t>Production and hosting by Elsevier</w:t>
            </w:r>
          </w:p>
        </w:tc>
      </w:tr>
      <w:tr>
        <w:trPr>
          <w:trHeight w:hRule="exact" w:val="202"/>
        </w:trPr>
        <w:tc>
          <w:tcPr>
            <w:tcW w:type="dxa" w:w="9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University.</w:t>
            </w:r>
          </w:p>
        </w:tc>
        <w:tc>
          <w:tcPr>
            <w:tcW w:type="dxa" w:w="1036"/>
            <w:vMerge/>
            <w:tcBorders>
              <w:top w:sz="3.631999969482422" w:val="single" w:color="#000000"/>
            </w:tcBorders>
          </w:tcPr>
          <w:p/>
        </w:tc>
        <w:tc>
          <w:tcPr>
            <w:tcW w:type="dxa" w:w="1036"/>
            <w:vMerge/>
            <w:tcBorders>
              <w:top w:sz="3.631999969482422" w:val="single" w:color="#000000"/>
            </w:tcBorders>
          </w:tcPr>
          <w:p/>
        </w:tc>
        <w:tc>
          <w:tcPr>
            <w:tcW w:type="dxa" w:w="1036"/>
            <w:vMerge/>
            <w:tcBorders>
              <w:top w:sz="3.631999969482422" w:val="single" w:color="#000000"/>
            </w:tcBorders>
          </w:tcPr>
          <w:p/>
        </w:tc>
        <w:tc>
          <w:tcPr>
            <w:tcW w:type="dxa" w:w="1036"/>
            <w:vMerge/>
            <w:tcBorders>
              <w:top w:sz="3.631999969482422" w:val="single" w:color="#000000"/>
            </w:tcBorders>
          </w:tcPr>
          <w:p/>
        </w:tc>
        <w:tc>
          <w:tcPr>
            <w:tcW w:type="dxa" w:w="1036"/>
            <w:vMerge/>
            <w:tcBorders>
              <w:top w:sz="3.631999969482422" w:val="single" w:color="#000000"/>
            </w:tcBorders>
          </w:tcPr>
          <w:p/>
        </w:tc>
        <w:tc>
          <w:tcPr>
            <w:tcW w:type="dxa" w:w="1036"/>
            <w:vMerge/>
            <w:tcBorders>
              <w:top w:sz="3.63199996948242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60" w:lineRule="exact" w:before="16" w:after="0"/>
        <w:ind w:left="61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doi:</w:t>
      </w:r>
      <w:r>
        <w:rPr>
          <w:rFonts w:ascii="AdvTimes" w:hAnsi="AdvTimes" w:eastAsia="AdvTimes"/>
          <w:b w:val="0"/>
          <w:i w:val="0"/>
          <w:color w:val="000066"/>
          <w:sz w:val="16"/>
        </w:rPr>
        <w:hyperlink r:id="rId9" w:history="1">
          <w:r>
            <w:rPr>
              <w:rStyle w:val="Hyperlink"/>
            </w:rPr>
            <w:t>10.1016/j.aci.2010.12.001</w:t>
          </w:r>
        </w:hyperlink>
      </w:r>
    </w:p>
    <w:p>
      <w:pPr>
        <w:sectPr>
          <w:pgSz w:w="9354" w:h="13606"/>
          <w:pgMar w:top="400" w:right="774" w:bottom="532" w:left="290" w:header="720" w:footer="720" w:gutter="0"/>
          <w:cols w:space="720" w:num="1" w:equalWidth="0">
            <w:col w:w="82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74"/>
        </w:trPr>
        <w:tc>
          <w:tcPr>
            <w:tcW w:type="dxa" w:w="326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80</w:t>
            </w:r>
          </w:p>
        </w:tc>
        <w:tc>
          <w:tcPr>
            <w:tcW w:type="dxa" w:w="438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Basit Qureshi</w:t>
            </w:r>
          </w:p>
        </w:tc>
      </w:tr>
    </w:tbl>
    <w:p>
      <w:pPr>
        <w:autoSpaceDN w:val="0"/>
        <w:autoSpaceDE w:val="0"/>
        <w:widowControl/>
        <w:spacing w:line="258" w:lineRule="exact" w:before="6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look at the entire set of requirements involved with design. The authors show that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there is much more to systems design than end-user requirements and CGI scripts.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Effective HCI is a multi-disciplinary area including psychology, sociology, anthro-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pology, information systems, and computer science. The book notes that there has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never been a greater need for interactions designers and usability engineers to de-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velop current and next-generation interaction technologies. To be successful in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interface design game, programmers need a mixed set of skills, which is not an easy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task.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Interaction Design comprises 15 densely packed chapters that integrate all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various cognitive, social, and other issues that are germane to interaction de-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sign. Chapter 1 provides an overview of what makes for good and bad designs.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Chapter 3 gets into the psychological aspect of HCI and looks at cognition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how users interact with the systems they implement. None of the books makes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for easy reading, as the topics at hand are often multifaceted and complex.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Chapter 6 deals with the process of interaction design and for the most part ends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psychological approach, while Chapters 7 through 10 deal with the actual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design of the system. The book has a number of real-world case studies, and also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includes interviews with various authorities on HCI.</w:t>
      </w:r>
    </w:p>
    <w:p>
      <w:pPr>
        <w:autoSpaceDN w:val="0"/>
        <w:autoSpaceDE w:val="0"/>
        <w:widowControl/>
        <w:spacing w:line="260" w:lineRule="exact" w:before="276" w:after="0"/>
        <w:ind w:left="0" w:right="0" w:firstLine="238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Ben Shneiderman, Catherine Plaisant, Maxine Cohen, Steven Jacobs, Designing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User Interface: Strategies for Effective Human-Computer Interaction - 5th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edition, Publisher: Pearson /Addison Wesley 5th edition (2009), ISBN: 0-321-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26978-0</w:t>
      </w:r>
    </w:p>
    <w:p>
      <w:pPr>
        <w:autoSpaceDN w:val="0"/>
        <w:autoSpaceDE w:val="0"/>
        <w:widowControl/>
        <w:spacing w:line="258" w:lineRule="exact" w:before="158" w:after="0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Designing the User Interface: Strategies for Effective Human-Computer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Interaction provides a comprehensive introduction to the dynamic field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human-computer interaction (HCI). An expanded author team brings unparal-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leled industry and academic experience to this latest edition. Practical techniques,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research-supported design guidelines, and a multitude of current examples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figures illustrate good design principles and practices, effectively guiding readers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through their first HCI design projects.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Covering just about every major HCI topic, from basic usability and design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processes to design for mobile and social environments, this book offers a very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broad summary of the field. It also introduces more advanced topics, such 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search interfaces and information visualization among others giving readers entry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points into important trends.</w:t>
      </w:r>
    </w:p>
    <w:p>
      <w:pPr>
        <w:autoSpaceDN w:val="0"/>
        <w:tabs>
          <w:tab w:pos="238" w:val="left"/>
        </w:tabs>
        <w:autoSpaceDE w:val="0"/>
        <w:widowControl/>
        <w:spacing w:line="258" w:lineRule="exact" w:before="280" w:after="0"/>
        <w:ind w:left="0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Steven Heim, The Resonant Interface: HCI Foundations for Interaction Design,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Publisher: Pearson /Addison Wesley (January 1, 2008), ISBN: 978-0-321-37596-4</w:t>
      </w:r>
    </w:p>
    <w:p>
      <w:pPr>
        <w:autoSpaceDN w:val="0"/>
        <w:autoSpaceDE w:val="0"/>
        <w:widowControl/>
        <w:spacing w:line="260" w:lineRule="exact" w:before="160" w:after="0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an age of ubiquitous computing it is essential that Interaction Design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based on the rich foundation of HCI research and knowledge. The Resonant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Interface does that and more. It moves beyond the traditional scope of human-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computer interaction (HCI) and is based on the concept of active learning that</w:t>
      </w:r>
    </w:p>
    <w:p>
      <w:pPr>
        <w:sectPr>
          <w:pgSz w:w="9354" w:h="13606"/>
          <w:pgMar w:top="432" w:right="886" w:bottom="582" w:left="798" w:header="720" w:footer="720" w:gutter="0"/>
          <w:cols w:space="720" w:num="1" w:equalWidth="0">
            <w:col w:w="7670" w:space="0"/>
            <w:col w:w="82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6"/>
        </w:trPr>
        <w:tc>
          <w:tcPr>
            <w:tcW w:type="dxa" w:w="461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BOOK REVIEWS</w:t>
            </w:r>
          </w:p>
        </w:tc>
        <w:tc>
          <w:tcPr>
            <w:tcW w:type="dxa" w:w="303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81</w:t>
            </w:r>
          </w:p>
        </w:tc>
      </w:tr>
    </w:tbl>
    <w:p>
      <w:pPr>
        <w:autoSpaceDN w:val="0"/>
        <w:autoSpaceDE w:val="0"/>
        <w:widowControl/>
        <w:spacing w:line="258" w:lineRule="exact" w:before="66" w:after="0"/>
        <w:ind w:left="0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integrates theory and practice. The author reasons for using design standards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detailed consequences of poor design are backed up by research. He gives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specific recommendations for standards, such as typefaces, point size, label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caption styles. He explains and uses good short hand throughout the book for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items as ‘‘signal’’ versus ‘‘noise.’’ This is handy to quickly distinguish between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things that are good/favorable/communicative/useful compared to things that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are interfering/obstructive/not useful. This is an excellent book for anyone want-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ing to understand the ‘‘why’’ of good screen design and then learn the ‘‘what.’’</w:t>
      </w:r>
    </w:p>
    <w:p>
      <w:pPr>
        <w:autoSpaceDN w:val="0"/>
        <w:autoSpaceDE w:val="0"/>
        <w:widowControl/>
        <w:spacing w:line="258" w:lineRule="exact" w:before="282" w:after="0"/>
        <w:ind w:left="0" w:right="0" w:firstLine="238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Laura Leventhal, Julie Barnes, Usability Engineering: Process, Products &amp;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Examples, Publisher: Prentice Hall; 1 edition (May 3, 2007), ISBN-13: 978-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0131570085</w:t>
      </w:r>
    </w:p>
    <w:p>
      <w:pPr>
        <w:autoSpaceDN w:val="0"/>
        <w:autoSpaceDE w:val="0"/>
        <w:widowControl/>
        <w:spacing w:line="260" w:lineRule="exact" w:before="160" w:after="0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This comprehensive introduction to usability engineering takes a project-based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approach to the development process. The book provides detailed coverage of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fundamentals without unnecessary depth or breadth, focusing readers on under-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standing the goals and processes of usability engineering. It also covers the entire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usability engineering lifecycle, emphasizing select techniques and methodologies;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illustrates the user interface development process with examples from a med-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ium-scale development example.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Each chapter’s introduction describes key design concepts that are often misun-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derstood, such as affordances, visual hierarchy, navigational distance, and the use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of color. These give a deeper understanding of why the patterns work, and how 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apply them with more insight.</w:t>
      </w:r>
    </w:p>
    <w:p>
      <w:pPr>
        <w:autoSpaceDN w:val="0"/>
        <w:tabs>
          <w:tab w:pos="238" w:val="left"/>
        </w:tabs>
        <w:autoSpaceDE w:val="0"/>
        <w:widowControl/>
        <w:spacing w:line="258" w:lineRule="exact" w:before="280" w:after="0"/>
        <w:ind w:left="0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Matt Jones, Gary Marsden, Mobile Interaction Design, Publisher: Wiley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(February 10, 2006), ISBN-13: 978-0470090893</w:t>
      </w:r>
    </w:p>
    <w:p>
      <w:pPr>
        <w:autoSpaceDN w:val="0"/>
        <w:autoSpaceDE w:val="0"/>
        <w:widowControl/>
        <w:spacing w:line="258" w:lineRule="exact" w:before="162" w:after="0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Mobile Interaction Design concentrates on developing interfaces and devices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with a great deal of sensitivity to human needs, desires and capabilities. The book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presents key interaction design ideas and successes in an accessible, relevant way.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It provides ideals and techniques which will enable designers to create the next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generation of effective mobile applications. Critiques current mobile interaction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design (bloopers) to help designers avoid pitfalls. Design challenges and worked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examples are given to reinforce ideas. Also it discusses the new applications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gadgets requiring knowledgeable and inspired thinking about usability and design.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book has informal case studies of actual product design methods used by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Nokia, HP and other companies.</w:t>
      </w:r>
    </w:p>
    <w:p>
      <w:pPr>
        <w:autoSpaceDN w:val="0"/>
        <w:tabs>
          <w:tab w:pos="238" w:val="left"/>
        </w:tabs>
        <w:autoSpaceDE w:val="0"/>
        <w:widowControl/>
        <w:spacing w:line="260" w:lineRule="exact" w:before="278" w:after="0"/>
        <w:ind w:left="0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Barbara Ballard, Designing the Mobile User Experience, Publisher: Wiley (April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16, 2007), ISBN-13: 978-0470033616</w:t>
      </w:r>
    </w:p>
    <w:p>
      <w:pPr>
        <w:autoSpaceDN w:val="0"/>
        <w:autoSpaceDE w:val="0"/>
        <w:widowControl/>
        <w:spacing w:line="258" w:lineRule="exact" w:before="160" w:after="0"/>
        <w:ind w:left="0" w:right="0" w:firstLine="238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Designing the Mobile User Experience provides the experienced product devel-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opment professional with an understanding of the users, technologies, devices,</w:t>
      </w:r>
    </w:p>
    <w:p>
      <w:pPr>
        <w:sectPr>
          <w:pgSz w:w="9354" w:h="13606"/>
          <w:pgMar w:top="448" w:right="774" w:bottom="622" w:left="908" w:header="720" w:footer="720" w:gutter="0"/>
          <w:cols w:space="720" w:num="1" w:equalWidth="0">
            <w:col w:w="7672" w:space="0"/>
            <w:col w:w="7670" w:space="0"/>
            <w:col w:w="82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74"/>
        </w:trPr>
        <w:tc>
          <w:tcPr>
            <w:tcW w:type="dxa" w:w="326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82</w:t>
            </w:r>
          </w:p>
        </w:tc>
        <w:tc>
          <w:tcPr>
            <w:tcW w:type="dxa" w:w="438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Basit Qureshi</w:t>
            </w:r>
          </w:p>
        </w:tc>
      </w:tr>
    </w:tbl>
    <w:p>
      <w:pPr>
        <w:autoSpaceDN w:val="0"/>
        <w:autoSpaceDE w:val="0"/>
        <w:widowControl/>
        <w:spacing w:line="260" w:lineRule="exact" w:before="6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design principles, techniques and industry players unique to the mobile and wire-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less space. The author describes the different components affecting the user expe-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rience and principles applicable to the mobile environment, enabling the reader 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choose effective technologies, platforms, and devices, plan appropriate application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features, apply pervasive design patterns, and choose and apply appropriate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research techniques. This book also provides WAP design advice and detailed ad-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vice for FlashLite, UIOne, SVG, tat, Java, and other environments.</w:t>
      </w:r>
    </w:p>
    <w:p>
      <w:pPr>
        <w:autoSpaceDN w:val="0"/>
        <w:tabs>
          <w:tab w:pos="4556" w:val="left"/>
          <w:tab w:pos="6348" w:val="left"/>
        </w:tabs>
        <w:autoSpaceDE w:val="0"/>
        <w:widowControl/>
        <w:spacing w:line="244" w:lineRule="exact" w:before="560" w:after="0"/>
        <w:ind w:left="298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Basit Qureshi </w:t>
      </w:r>
      <w:r>
        <w:rPr>
          <w:rFonts w:ascii="AdvTimes" w:hAnsi="AdvTimes" w:eastAsia="AdvTimes"/>
          <w:b w:val="0"/>
          <w:i w:val="0"/>
          <w:color w:val="000000"/>
          <w:sz w:val="20"/>
        </w:rPr>
        <w:t xml:space="preserve">College of Computer and Information Systems, Prince Sultan University, Saudi Arabia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0"/>
        </w:rPr>
        <w:t>E-mail address:</w:t>
      </w:r>
      <w:r>
        <w:rPr>
          <w:rFonts w:ascii="AdvTimes" w:hAnsi="AdvTimes" w:eastAsia="AdvTimes"/>
          <w:b w:val="0"/>
          <w:i w:val="0"/>
          <w:color w:val="000066"/>
          <w:sz w:val="20"/>
        </w:rPr>
        <w:t xml:space="preserve"> </w:t>
      </w:r>
      <w:r>
        <w:rPr>
          <w:rFonts w:ascii="AdvTimes" w:hAnsi="AdvTimes" w:eastAsia="AdvTimes"/>
          <w:b w:val="0"/>
          <w:i w:val="0"/>
          <w:color w:val="000066"/>
          <w:sz w:val="20"/>
        </w:rPr>
        <w:hyperlink r:id="rId15" w:history="1">
          <w:r>
            <w:rPr>
              <w:rStyle w:val="Hyperlink"/>
            </w:rPr>
            <w:t>qureshi@psu.edu.sa</w:t>
          </w:r>
        </w:hyperlink>
      </w:r>
    </w:p>
    <w:p>
      <w:pPr>
        <w:autoSpaceDN w:val="0"/>
        <w:autoSpaceDE w:val="0"/>
        <w:widowControl/>
        <w:spacing w:line="200" w:lineRule="exact" w:before="278" w:after="0"/>
        <w:ind w:left="0" w:right="24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20"/>
        </w:rPr>
        <w:t>Available online 16 December 2010</w:t>
      </w:r>
    </w:p>
    <w:sectPr w:rsidR="00FC693F" w:rsidRPr="0006063C" w:rsidSect="00034616">
      <w:pgSz w:w="9354" w:h="13606"/>
      <w:pgMar w:top="432" w:right="884" w:bottom="1440" w:left="798" w:header="720" w:footer="720" w:gutter="0"/>
      <w:cols w:space="720" w:num="1" w:equalWidth="0">
        <w:col w:w="7672" w:space="0"/>
        <w:col w:w="7672" w:space="0"/>
        <w:col w:w="7670" w:space="0"/>
        <w:col w:w="82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x.doi.org/10.1016/j.aci.2010.12.00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mailto:qureshi@psu.edu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