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09"/>
        <w:gridCol w:w="3209"/>
        <w:gridCol w:w="3209"/>
      </w:tblGrid>
      <w:tr>
        <w:trPr>
          <w:trHeight w:hRule="exact" w:val="264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09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9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09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613 – 618 </w:t>
            </w:r>
          </w:p>
        </w:tc>
        <w:tc>
          <w:tcPr>
            <w:tcW w:type="dxa" w:w="320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1128" w:after="0"/>
        <w:ind w:left="14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2012 AASRI Conference on Modelling, Identification and Control </w:t>
      </w:r>
    </w:p>
    <w:p>
      <w:pPr>
        <w:autoSpaceDN w:val="0"/>
        <w:autoSpaceDE w:val="0"/>
        <w:widowControl/>
        <w:spacing w:line="245" w:lineRule="auto" w:before="260" w:after="0"/>
        <w:ind w:left="432" w:right="72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Detection of Precursory Wave Using a Novel Sensor and Its 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Application to Earthquake Prediction </w:t>
      </w:r>
    </w:p>
    <w:p>
      <w:pPr>
        <w:autoSpaceDN w:val="0"/>
        <w:autoSpaceDE w:val="0"/>
        <w:widowControl/>
        <w:spacing w:line="264" w:lineRule="auto" w:before="214" w:after="0"/>
        <w:ind w:left="14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Liyu Huang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a,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*,</w:t>
      </w:r>
      <w:r>
        <w:rPr>
          <w:rFonts w:ascii="TimesNewRomanPSMT" w:hAnsi="TimesNewRomanPSMT" w:eastAsia="TimesNewRomanPSMT"/>
          <w:b w:val="0"/>
          <w:i w:val="0"/>
          <w:color w:val="FFFFFF"/>
          <w:sz w:val="17"/>
        </w:rPr>
        <w:t>*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Yingju Du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, Jianing Zheng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a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 , Yuxiang Zhang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b</w:t>
      </w:r>
    </w:p>
    <w:p>
      <w:pPr>
        <w:autoSpaceDN w:val="0"/>
        <w:autoSpaceDE w:val="0"/>
        <w:widowControl/>
        <w:spacing w:line="257" w:lineRule="auto" w:before="164" w:after="0"/>
        <w:ind w:left="1728" w:right="2160" w:firstLine="0"/>
        <w:jc w:val="center"/>
      </w:pPr>
      <w:r>
        <w:rPr>
          <w:rFonts w:ascii="TimesNewRomanPS" w:hAnsi="TimesNewRomanPS" w:eastAsia="TimesNewRomanPS"/>
          <w:b w:val="0"/>
          <w:i/>
          <w:color w:val="221F1F"/>
          <w:sz w:val="10"/>
        </w:rPr>
        <w:t>a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School of Life Sciences and Technology, Xidian University,  Xi-an 710071, China </w:t>
      </w:r>
      <w:r>
        <w:rPr>
          <w:rFonts w:ascii="TimesNewRomanPS" w:hAnsi="TimesNewRomanPS" w:eastAsia="TimesNewRomanPS"/>
          <w:b w:val="0"/>
          <w:i/>
          <w:color w:val="221F1F"/>
          <w:sz w:val="10"/>
        </w:rPr>
        <w:t>b</w:t>
      </w:r>
      <w:r>
        <w:rPr>
          <w:rFonts w:ascii="TimesNewRomanPS" w:hAnsi="TimesNewRomanPS" w:eastAsia="TimesNewRomanPS"/>
          <w:b w:val="0"/>
          <w:i/>
          <w:color w:val="221F1F"/>
          <w:sz w:val="16"/>
        </w:rPr>
        <w:t xml:space="preserve">Earthquake Monitoring Center, Shaanxi Seismological Bureau,  Xi-an 710068, China </w:t>
      </w:r>
    </w:p>
    <w:p>
      <w:pPr>
        <w:autoSpaceDN w:val="0"/>
        <w:autoSpaceDE w:val="0"/>
        <w:widowControl/>
        <w:spacing w:line="230" w:lineRule="auto" w:before="952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52" w:lineRule="auto" w:before="240" w:after="0"/>
        <w:ind w:left="190" w:right="50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 novel precursory wave detector by using liquid-suspension principle and super-low-frequency(SLF) sound signal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detection technology in submarine is presented, then the device of earthquake precursory wave detection and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corresponding software are developed. The detection devices were placed respectively in Ziwu, Qianling and Louguan in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Shaanxi Province, in more that a year, all the SLF-acceleration signals were recorded continuously in real-time; A contrast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analysis was made between the abnormal precursory waves and the following earthquake events. The results show that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accuracy, sensitivity and specificity of this method in earthquake prediction are 72.08%, 39.06% and 81.73%, respectively. </w:t>
      </w:r>
    </w:p>
    <w:p>
      <w:pPr>
        <w:autoSpaceDN w:val="0"/>
        <w:autoSpaceDE w:val="0"/>
        <w:widowControl/>
        <w:spacing w:line="232" w:lineRule="exact" w:before="230" w:after="0"/>
        <w:ind w:left="19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© 2012 Published by Elsevier B.V.  Selection and/or peer rev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hyperlink r:id="rId12" w:history="1">
          <w:r>
            <w:rPr>
              <w:rStyle w:val="Hyperlink"/>
            </w:rPr>
            <w:t>iew under responsib</w:t>
          </w:r>
        </w:hyperlink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ility of American Applied </w:t>
      </w:r>
      <w:r>
        <w:rPr>
          <w:rFonts w:ascii="Times" w:hAnsi="Times" w:eastAsia="Times"/>
          <w:b w:val="0"/>
          <w:i w:val="0"/>
          <w:color w:val="221F1F"/>
          <w:sz w:val="18"/>
        </w:rPr>
        <w:t xml:space="preserve">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Open access under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Science Research Institute </w:t>
      </w:r>
      <w:r>
        <w:rPr>
          <w:rFonts w:ascii="Times" w:hAnsi="Times" w:eastAsia="Times"/>
          <w:b w:val="0"/>
          <w:i w:val="0"/>
          <w:color w:val="221F1F"/>
          <w:sz w:val="18"/>
        </w:rPr>
        <w:t>Selection and/or peer review under responsibility of American Applied Science Research Institute</w:t>
      </w:r>
    </w:p>
    <w:p>
      <w:pPr>
        <w:autoSpaceDN w:val="0"/>
        <w:autoSpaceDE w:val="0"/>
        <w:widowControl/>
        <w:spacing w:line="230" w:lineRule="auto" w:before="250" w:after="0"/>
        <w:ind w:left="190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Precursor wave; earthquake; prediction </w:t>
      </w:r>
    </w:p>
    <w:p>
      <w:pPr>
        <w:autoSpaceDN w:val="0"/>
        <w:autoSpaceDE w:val="0"/>
        <w:widowControl/>
        <w:spacing w:line="230" w:lineRule="auto" w:before="46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1.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45" w:lineRule="auto" w:before="258" w:after="0"/>
        <w:ind w:left="190" w:right="51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Being unclear of the mechanism of its forming and happening, earthquake prediction still remains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worldwide scientific problem. Since the concept of “precursor wave” was brought up by Kanamori[1], a lot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recording and analyzing work were carried out by investigators both in China and abroad. Although different </w:t>
      </w:r>
    </w:p>
    <w:p>
      <w:pPr>
        <w:autoSpaceDN w:val="0"/>
        <w:tabs>
          <w:tab w:pos="280" w:val="left"/>
        </w:tabs>
        <w:autoSpaceDE w:val="0"/>
        <w:widowControl/>
        <w:spacing w:line="247" w:lineRule="auto" w:before="822" w:after="0"/>
        <w:ind w:left="190" w:right="40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2"/>
        </w:rPr>
        <w:t>*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 Corresponding author. Tel.: +86-29-88202261 ; fax: +86-29-81891070. </w:t>
      </w:r>
      <w:r>
        <w:rPr>
          <w:rFonts w:ascii="TimesNewRomanPS" w:hAnsi="TimesNewRomanPS" w:eastAsia="TimesNewRomanPS"/>
          <w:b w:val="0"/>
          <w:i/>
          <w:color w:val="221F1F"/>
          <w:sz w:val="18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huangly@mail.xidian.edu.cn</w:t>
      </w:r>
    </w:p>
    <w:p>
      <w:pPr>
        <w:autoSpaceDN w:val="0"/>
        <w:autoSpaceDE w:val="0"/>
        <w:widowControl/>
        <w:spacing w:line="200" w:lineRule="exact" w:before="1262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Open access under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10.1016/j.aasri.2012.11.097 </w:t>
      </w:r>
    </w:p>
    <w:p>
      <w:pPr>
        <w:sectPr>
          <w:pgSz w:w="10885" w:h="14854"/>
          <w:pgMar w:top="438" w:right="634" w:bottom="218" w:left="624" w:header="720" w:footer="720" w:gutter="0"/>
          <w:cols w:space="720" w:num="1" w:equalWidth="0"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72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614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Liyu Huang et al. /  AASRI Procedia  3 ( 2012 )  613 – 618 </w:t>
      </w:r>
    </w:p>
    <w:p>
      <w:pPr>
        <w:autoSpaceDN w:val="0"/>
        <w:autoSpaceDE w:val="0"/>
        <w:widowControl/>
        <w:spacing w:line="245" w:lineRule="auto" w:before="396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earthquake examples were used, an approximate consensus on temporal and spatial distribution characteristics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precursor wave was reached[2-3]. </w:t>
      </w:r>
    </w:p>
    <w:p>
      <w:pPr>
        <w:autoSpaceDN w:val="0"/>
        <w:autoSpaceDE w:val="0"/>
        <w:widowControl/>
        <w:spacing w:line="247" w:lineRule="auto" w:before="18" w:after="0"/>
        <w:ind w:left="190" w:right="45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 novel liquid-suspension precursor wave detector was realized based on a sound wave test technology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based on the movement of the submarine and was deployed respectively at Ziwu, Qianling, Louguan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Shaanxi Province for more than a year to collect the ultralow-frequency acceleration precursor wave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consecutively. Then the collected data were preprocessed according to certain rules. The abnormal signals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occurrence of the earthquake were compared and the relationship between them was analyzed.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2.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Data collecting and preprocessing </w:t>
      </w:r>
    </w:p>
    <w:p>
      <w:pPr>
        <w:autoSpaceDN w:val="0"/>
        <w:autoSpaceDE w:val="0"/>
        <w:widowControl/>
        <w:spacing w:line="230" w:lineRule="auto" w:before="258" w:after="0"/>
        <w:ind w:left="192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2.1.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Precursor wave recording device </w:t>
      </w:r>
    </w:p>
    <w:p>
      <w:pPr>
        <w:autoSpaceDN w:val="0"/>
        <w:autoSpaceDE w:val="0"/>
        <w:widowControl/>
        <w:spacing w:line="247" w:lineRule="auto" w:before="258" w:after="0"/>
        <w:ind w:left="192" w:right="432" w:firstLine="236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 novel liquid-suspension principle was applied to develop a long-period three-axis signal sensor with high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sensitivity, ultra low-frequency, and wide frequency band. The operating principle is that when the long-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period precursor wave is detected, the subtle and slow fluctuation state will be captured by a conductive liquid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the mechanical signals will be transformed into electrical signals in three directions as the output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sensor(see Fig. 1). The sensor is not affected by ground-to-air electromagnetic signals, which increased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bandwidth and signal-to-noise ratio of the recorded signals and provided reliable technique support for the live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detection of precursor wave. </w:t>
      </w:r>
    </w:p>
    <w:p>
      <w:pPr>
        <w:autoSpaceDN w:val="0"/>
        <w:autoSpaceDE w:val="0"/>
        <w:widowControl/>
        <w:spacing w:line="245" w:lineRule="auto" w:before="18" w:after="0"/>
        <w:ind w:left="192" w:right="450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Based on liquid-suspension ultra low-frequency signal recording sensor mentioned above, EXI-3000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dynamic precursor wave recorder and MTROL-1.0 signal analyzing software were further developed,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providing credible device and technique foundation for the following research. The appearance of the recorder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shown in Fig. 2. </w:t>
      </w:r>
    </w:p>
    <w:p>
      <w:pPr>
        <w:autoSpaceDN w:val="0"/>
        <w:autoSpaceDE w:val="0"/>
        <w:widowControl/>
        <w:spacing w:line="240" w:lineRule="auto" w:before="23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369820" cy="11493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149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550" w:val="left"/>
        </w:tabs>
        <w:autoSpaceDE w:val="0"/>
        <w:widowControl/>
        <w:spacing w:line="245" w:lineRule="auto" w:before="2" w:after="0"/>
        <w:ind w:left="190" w:right="1584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(a)                                                         (b)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Fig. 1  Liquid-suspension seismometer with ultra low frequency, (a) Schematic diagram; (b) Exterior of the seismometer</w:t>
      </w:r>
    </w:p>
    <w:p>
      <w:pPr>
        <w:autoSpaceDN w:val="0"/>
        <w:autoSpaceDE w:val="0"/>
        <w:widowControl/>
        <w:spacing w:line="240" w:lineRule="auto" w:before="2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289810" cy="17335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733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2  EXI-3000 earthquake  precursor wave recorder </w:t>
      </w:r>
    </w:p>
    <w:p>
      <w:pPr>
        <w:sectPr>
          <w:pgSz w:w="10885" w:h="14854"/>
          <w:pgMar w:top="368" w:right="696" w:bottom="1222" w:left="624" w:header="720" w:footer="720" w:gutter="0"/>
          <w:cols w:space="720" w:num="1" w:equalWidth="0">
            <w:col w:w="95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99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Liyu Huang et al. /  AASRI Procedia  3 ( 2012 )  613 – 618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615</w:t>
      </w:r>
    </w:p>
    <w:p>
      <w:pPr>
        <w:autoSpaceDN w:val="0"/>
        <w:autoSpaceDE w:val="0"/>
        <w:widowControl/>
        <w:spacing w:line="230" w:lineRule="auto" w:before="398" w:after="0"/>
        <w:ind w:left="192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2.2.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The geographical distribution of the recorder </w:t>
      </w:r>
    </w:p>
    <w:p>
      <w:pPr>
        <w:autoSpaceDN w:val="0"/>
        <w:autoSpaceDE w:val="0"/>
        <w:widowControl/>
        <w:spacing w:line="245" w:lineRule="auto" w:before="258" w:after="0"/>
        <w:ind w:left="192" w:right="55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order to locate the source of the precursor wave, two collection sites are needed at least. The signal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recorders were deployed at three sites, namely Ziwu, Qianling(in Qian County), Louguan(in Zhouzhi County),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record precursor waves by Earthquake Monitoring Center of Shaanxi Earthquake Bureau. The geographic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distribution of the recorders is shown in Fig. 3. </w:t>
      </w:r>
    </w:p>
    <w:p>
      <w:pPr>
        <w:autoSpaceDN w:val="0"/>
        <w:autoSpaceDE w:val="0"/>
        <w:widowControl/>
        <w:spacing w:line="240" w:lineRule="auto" w:before="246" w:after="0"/>
        <w:ind w:left="23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63240" cy="211328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113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242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3  The geographical distribution of the three collection stations in Shaanxi. </w:t>
      </w:r>
    </w:p>
    <w:p>
      <w:pPr>
        <w:autoSpaceDN w:val="0"/>
        <w:autoSpaceDE w:val="0"/>
        <w:widowControl/>
        <w:spacing w:line="247" w:lineRule="auto" w:before="202" w:after="0"/>
        <w:ind w:left="192" w:right="55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recording was from May 25, 2010 to May 31, 2011, during which 372 days’ data were collected. Due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malfunctions of the devices, some data were missed for a part of time. In order to locate the epicenter by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time difference of the same precursor wave arriving at different stations, data from two stations are needed at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least. Therefore, after eliminating the data collected at only one location, 283 days’ data are available for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analysis; each day’s data are from two or three stations in two or three channels. </w:t>
      </w:r>
    </w:p>
    <w:p>
      <w:pPr>
        <w:autoSpaceDN w:val="0"/>
        <w:autoSpaceDE w:val="0"/>
        <w:widowControl/>
        <w:spacing w:line="230" w:lineRule="auto" w:before="258" w:after="0"/>
        <w:ind w:left="192" w:right="0" w:firstLine="0"/>
        <w:jc w:val="left"/>
      </w:pPr>
      <w:r>
        <w:rPr>
          <w:rFonts w:ascii="TimesNewRomanPS" w:hAnsi="TimesNewRomanPS" w:eastAsia="TimesNewRomanPS"/>
          <w:b w:val="0"/>
          <w:i/>
          <w:color w:val="221F1F"/>
          <w:sz w:val="20"/>
        </w:rPr>
        <w:t>2.3.</w:t>
      </w:r>
      <w:r>
        <w:rPr>
          <w:rFonts w:ascii="TimesNewRomanPS" w:hAnsi="TimesNewRomanPS" w:eastAsia="TimesNewRomanPS"/>
          <w:b w:val="0"/>
          <w:i/>
          <w:color w:val="221F1F"/>
          <w:sz w:val="20"/>
        </w:rPr>
        <w:t xml:space="preserve">Data preprocessing </w:t>
      </w:r>
    </w:p>
    <w:p>
      <w:pPr>
        <w:autoSpaceDN w:val="0"/>
        <w:autoSpaceDE w:val="0"/>
        <w:widowControl/>
        <w:spacing w:line="247" w:lineRule="auto" w:before="258" w:after="0"/>
        <w:ind w:left="192" w:right="58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Normally, no abnormal wave appears in the recorded waveform and no earthquake happens several days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later, which is shown in Fig. 4(a); if any precursor wave is recorded, the wave amplitude will significantly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increase, as shown in Fig. 4(b). The recording channels are shown at top left in Fig. 4, at top right are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waveforms from all channels, at bottom left is the frequency spectrum of the signal from a single channel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at bottom right is its time frequency distribution. </w:t>
      </w:r>
    </w:p>
    <w:p>
      <w:pPr>
        <w:autoSpaceDN w:val="0"/>
        <w:tabs>
          <w:tab w:pos="430" w:val="left"/>
        </w:tabs>
        <w:autoSpaceDE w:val="0"/>
        <w:widowControl/>
        <w:spacing w:line="245" w:lineRule="auto" w:before="18" w:after="0"/>
        <w:ind w:left="192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order to select the precursor waves suited to the requirements from 283 groups of data, some rules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defined according to previous studies and overall situation of the acquired data: </w:t>
      </w:r>
    </w:p>
    <w:p>
      <w:pPr>
        <w:autoSpaceDN w:val="0"/>
        <w:tabs>
          <w:tab w:pos="430" w:val="left"/>
        </w:tabs>
        <w:autoSpaceDE w:val="0"/>
        <w:widowControl/>
        <w:spacing w:line="245" w:lineRule="auto" w:before="42" w:after="0"/>
        <w:ind w:left="192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(1) when the amplitude of a wave exceeds 2.5×10-3 g, the wave will be considered as precursor wave, 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abnormal wave; </w:t>
      </w:r>
    </w:p>
    <w:p>
      <w:pPr>
        <w:autoSpaceDN w:val="0"/>
        <w:tabs>
          <w:tab w:pos="430" w:val="left"/>
        </w:tabs>
        <w:autoSpaceDE w:val="0"/>
        <w:widowControl/>
        <w:spacing w:line="245" w:lineRule="auto" w:before="42" w:after="0"/>
        <w:ind w:left="192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(2) when the above-mentioned abnormality occurs at only one station, while the other one or two stations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are under normal state, it will be considered as normal state; </w:t>
      </w:r>
    </w:p>
    <w:p>
      <w:pPr>
        <w:autoSpaceDN w:val="0"/>
        <w:autoSpaceDE w:val="0"/>
        <w:widowControl/>
        <w:spacing w:line="245" w:lineRule="auto" w:before="42" w:after="0"/>
        <w:ind w:left="192" w:right="58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(3) one day is the unit, if the precursor wave lies between two days, it will be regarded as belonging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previous day; if more than one abnormal waves appear in one day, the one that has the largest amplitude will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be considered as the precursor wave, while others are the incidental waves. </w:t>
      </w:r>
    </w:p>
    <w:p>
      <w:pPr>
        <w:sectPr>
          <w:pgSz w:w="10885" w:h="14854"/>
          <w:pgMar w:top="368" w:right="532" w:bottom="1266" w:left="680" w:header="720" w:footer="720" w:gutter="0"/>
          <w:cols w:space="720" w:num="1" w:equalWidth="0">
            <w:col w:w="9674" w:space="0"/>
            <w:col w:w="95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3.999999999999986" w:type="dxa"/>
      </w:tblPr>
      <w:tblGrid>
        <w:gridCol w:w="3182"/>
        <w:gridCol w:w="3182"/>
        <w:gridCol w:w="3182"/>
      </w:tblGrid>
      <w:tr>
        <w:trPr>
          <w:trHeight w:hRule="exact" w:val="366"/>
        </w:trPr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616</w:t>
            </w:r>
          </w:p>
        </w:tc>
        <w:tc>
          <w:tcPr>
            <w:tcW w:type="dxa" w:w="7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155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Liyu Huang et al. /  AASRI Procedia  3 ( 2012 )  613 – 618 </w:t>
            </w:r>
          </w:p>
        </w:tc>
      </w:tr>
      <w:tr>
        <w:trPr>
          <w:trHeight w:hRule="exact" w:val="3762"/>
        </w:trPr>
        <w:tc>
          <w:tcPr>
            <w:tcW w:type="dxa" w:w="45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20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45740" cy="226441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740" cy="2264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80030" cy="226441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030" cy="2264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auto" w:before="2" w:after="0"/>
        <w:ind w:left="20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(a)                                                                                                                    (b) </w:t>
      </w:r>
    </w:p>
    <w:p>
      <w:pPr>
        <w:autoSpaceDN w:val="0"/>
        <w:autoSpaceDE w:val="0"/>
        <w:widowControl/>
        <w:spacing w:line="245" w:lineRule="auto" w:before="248" w:after="0"/>
        <w:ind w:left="20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4  Recording interfaces under different signal states, (a) Normal state without earthquake following; (b) Abnormal state with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earthquake following </w:t>
      </w:r>
    </w:p>
    <w:p>
      <w:pPr>
        <w:autoSpaceDN w:val="0"/>
        <w:tabs>
          <w:tab w:pos="438" w:val="left"/>
        </w:tabs>
        <w:autoSpaceDE w:val="0"/>
        <w:widowControl/>
        <w:spacing w:line="247" w:lineRule="auto" w:before="256" w:after="0"/>
        <w:ind w:left="20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According to the above-mentioned rules, 283 days’ data were analyzed carefully to select the precursor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wave, 65 days’ data were up to the standard, namely 65 groups of precursor waves. After selecting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precursor wave, the epicenter could be possibly located by the time differences of the same precursor wave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arriving at different collection stations. The specific steps are as follows: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(1) To find the universal earthquake catalogue. The catalogue comes from the China Earthquake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Networks[4-6]. Appearing moment of the precursor wave is defined as the initial time; all the earthquakes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above 4.5 magnitude in China and 5 magnitude in China’s bordering countries within 72 hours after the initial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time are summarized. </w:t>
      </w:r>
    </w:p>
    <w:p>
      <w:pPr>
        <w:autoSpaceDN w:val="0"/>
        <w:tabs>
          <w:tab w:pos="438" w:val="left"/>
        </w:tabs>
        <w:autoSpaceDE w:val="0"/>
        <w:widowControl/>
        <w:spacing w:line="245" w:lineRule="auto" w:before="18" w:after="0"/>
        <w:ind w:left="20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(2) China’s bordering countries include Mongolia, Russia, Japan, Korea Peninsula, Philippines, Indonesia,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Burma, Nepal, India, Pakistan, Afghanistan, Iran, Kyrgyzstan, Tajikistan, Kazakhstan, etc. </w:t>
      </w:r>
    </w:p>
    <w:p>
      <w:pPr>
        <w:autoSpaceDN w:val="0"/>
        <w:autoSpaceDE w:val="0"/>
        <w:widowControl/>
        <w:spacing w:line="245" w:lineRule="auto" w:before="18" w:after="0"/>
        <w:ind w:left="200" w:right="44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(3) If there are two or more earthquake events after one precursor wave, the approximate direction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epicenter could be determined by the time differences of the initial time of the precursor wave recorded at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different collection stations, which is based on the fact that the precursor wave caused by the same earthquake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will first arrive the collection station nearest to the epicenter. </w:t>
      </w:r>
    </w:p>
    <w:p>
      <w:pPr>
        <w:autoSpaceDN w:val="0"/>
        <w:tabs>
          <w:tab w:pos="438" w:val="left"/>
        </w:tabs>
        <w:autoSpaceDE w:val="0"/>
        <w:widowControl/>
        <w:spacing w:line="245" w:lineRule="auto" w:before="18" w:after="0"/>
        <w:ind w:left="20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For example, the abnormal waves collected on June, 2010. Two earthquakes happened in the following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three days, which is shown in Table 1. </w:t>
      </w:r>
    </w:p>
    <w:p>
      <w:pPr>
        <w:autoSpaceDN w:val="0"/>
        <w:autoSpaceDE w:val="0"/>
        <w:widowControl/>
        <w:spacing w:line="230" w:lineRule="auto" w:before="246" w:after="190"/>
        <w:ind w:left="2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Table 1  The earthquakes happened in 72 hours after the precursor wave recorded on June, 2010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96.0" w:type="dxa"/>
      </w:tblPr>
      <w:tblGrid>
        <w:gridCol w:w="1591"/>
        <w:gridCol w:w="1591"/>
        <w:gridCol w:w="1591"/>
        <w:gridCol w:w="1591"/>
        <w:gridCol w:w="1591"/>
        <w:gridCol w:w="1591"/>
      </w:tblGrid>
      <w:tr>
        <w:trPr>
          <w:trHeight w:hRule="exact" w:val="516"/>
        </w:trPr>
        <w:tc>
          <w:tcPr>
            <w:tcW w:type="dxa" w:w="1500"/>
            <w:tcBorders>
              <w:top w:sz="3.199999999999818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Occurrence time </w:t>
            </w:r>
          </w:p>
        </w:tc>
        <w:tc>
          <w:tcPr>
            <w:tcW w:type="dxa" w:w="1280"/>
            <w:tcBorders>
              <w:top w:sz="3.199999999999818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Magnitude(M) </w:t>
            </w:r>
          </w:p>
        </w:tc>
        <w:tc>
          <w:tcPr>
            <w:tcW w:type="dxa" w:w="1060"/>
            <w:tcBorders>
              <w:top w:sz="3.199999999999818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Latitude(°) </w:t>
            </w:r>
          </w:p>
        </w:tc>
        <w:tc>
          <w:tcPr>
            <w:tcW w:type="dxa" w:w="1180"/>
            <w:tcBorders>
              <w:top w:sz="3.199999999999818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Longitude(°) </w:t>
            </w:r>
          </w:p>
        </w:tc>
        <w:tc>
          <w:tcPr>
            <w:tcW w:type="dxa" w:w="1040"/>
            <w:tcBorders>
              <w:top w:sz="3.199999999999818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Depth(km) </w:t>
            </w:r>
          </w:p>
        </w:tc>
        <w:tc>
          <w:tcPr>
            <w:tcW w:type="dxa" w:w="1990"/>
            <w:tcBorders>
              <w:top w:sz="3.199999999999818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Reference location </w:t>
            </w:r>
          </w:p>
        </w:tc>
      </w:tr>
      <w:tr>
        <w:trPr>
          <w:trHeight w:hRule="exact" w:val="398"/>
        </w:trPr>
        <w:tc>
          <w:tcPr>
            <w:tcW w:type="dxa" w:w="150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2010-6-9  0:09:23 </w:t>
            </w:r>
          </w:p>
        </w:tc>
        <w:tc>
          <w:tcPr>
            <w:tcW w:type="dxa" w:w="128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4.5 </w:t>
            </w:r>
          </w:p>
        </w:tc>
        <w:tc>
          <w:tcPr>
            <w:tcW w:type="dxa" w:w="106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44.4 </w:t>
            </w:r>
          </w:p>
        </w:tc>
        <w:tc>
          <w:tcPr>
            <w:tcW w:type="dxa" w:w="118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83.2 </w:t>
            </w:r>
          </w:p>
        </w:tc>
        <w:tc>
          <w:tcPr>
            <w:tcW w:type="dxa" w:w="104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10 </w:t>
            </w:r>
          </w:p>
        </w:tc>
        <w:tc>
          <w:tcPr>
            <w:tcW w:type="dxa" w:w="199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Jinghe, Xinjiang Province </w:t>
            </w:r>
          </w:p>
        </w:tc>
      </w:tr>
      <w:tr>
        <w:trPr>
          <w:trHeight w:hRule="exact" w:val="432"/>
        </w:trPr>
        <w:tc>
          <w:tcPr>
            <w:tcW w:type="dxa" w:w="150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2010-6-7 0:42:42 </w:t>
            </w:r>
          </w:p>
        </w:tc>
        <w:tc>
          <w:tcPr>
            <w:tcW w:type="dxa" w:w="128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4.8 </w:t>
            </w:r>
          </w:p>
        </w:tc>
        <w:tc>
          <w:tcPr>
            <w:tcW w:type="dxa" w:w="10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33.2 </w:t>
            </w:r>
          </w:p>
        </w:tc>
        <w:tc>
          <w:tcPr>
            <w:tcW w:type="dxa" w:w="118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96.3 </w:t>
            </w:r>
          </w:p>
        </w:tc>
        <w:tc>
          <w:tcPr>
            <w:tcW w:type="dxa" w:w="104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10 </w:t>
            </w:r>
          </w:p>
        </w:tc>
        <w:tc>
          <w:tcPr>
            <w:tcW w:type="dxa" w:w="199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Yushu, Qinghai Province </w:t>
            </w:r>
          </w:p>
        </w:tc>
      </w:tr>
    </w:tbl>
    <w:p>
      <w:pPr>
        <w:autoSpaceDN w:val="0"/>
        <w:autoSpaceDE w:val="0"/>
        <w:widowControl/>
        <w:spacing w:line="245" w:lineRule="auto" w:before="254" w:after="0"/>
        <w:ind w:left="200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precursor wave at Qianling is ahead of that at Ziwu, as shown in Fig. 5, therefore it could be deduced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that the epicenter is nearer to Qianling, at which the precursor wave arrives first, and the epicenter should be </w:t>
      </w:r>
    </w:p>
    <w:p>
      <w:pPr>
        <w:sectPr>
          <w:pgSz w:w="10885" w:h="14854"/>
          <w:pgMar w:top="368" w:right="714" w:bottom="1192" w:left="624" w:header="720" w:footer="720" w:gutter="0"/>
          <w:cols w:space="720" w:num="1" w:equalWidth="0">
            <w:col w:w="9548" w:space="0"/>
            <w:col w:w="9674" w:space="0"/>
            <w:col w:w="95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7035800</wp:posOffset>
            </wp:positionV>
            <wp:extent cx="711200" cy="762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1586230</wp:posOffset>
            </wp:positionV>
            <wp:extent cx="3219450" cy="2413443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134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2311400</wp:posOffset>
            </wp:positionH>
            <wp:positionV relativeFrom="page">
              <wp:posOffset>2260600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2235200</wp:posOffset>
            </wp:positionV>
            <wp:extent cx="38100" cy="1016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1968500</wp:posOffset>
            </wp:positionV>
            <wp:extent cx="38100" cy="1016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3657600</wp:posOffset>
            </wp:positionV>
            <wp:extent cx="50800" cy="50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3619500</wp:posOffset>
            </wp:positionV>
            <wp:extent cx="38100" cy="50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3657600</wp:posOffset>
            </wp:positionV>
            <wp:extent cx="50800" cy="50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3619500</wp:posOffset>
            </wp:positionV>
            <wp:extent cx="381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4521200</wp:posOffset>
            </wp:positionH>
            <wp:positionV relativeFrom="page">
              <wp:posOffset>3517900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3517900</wp:posOffset>
            </wp:positionV>
            <wp:extent cx="1905000" cy="2667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4559300</wp:posOffset>
            </wp:positionH>
            <wp:positionV relativeFrom="page">
              <wp:posOffset>3505200</wp:posOffset>
            </wp:positionV>
            <wp:extent cx="381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3352800</wp:posOffset>
            </wp:positionV>
            <wp:extent cx="50800" cy="762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3327400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3289300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3289300</wp:posOffset>
            </wp:positionH>
            <wp:positionV relativeFrom="page">
              <wp:posOffset>3289300</wp:posOffset>
            </wp:positionV>
            <wp:extent cx="38100" cy="635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99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Liyu Huang et al. /  AASRI Procedia  3 ( 2012 )  613 – 618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617</w:t>
      </w:r>
    </w:p>
    <w:p>
      <w:pPr>
        <w:autoSpaceDN w:val="0"/>
        <w:autoSpaceDE w:val="0"/>
        <w:widowControl/>
        <w:spacing w:line="245" w:lineRule="auto" w:before="398" w:after="0"/>
        <w:ind w:left="192" w:right="58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 the northwest of the collection stations. Because of the fact that Yushu, Qinghai province is on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southwest of the collection stations, it could be confirmed that the precursor wave was from the earthquake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Jinghe County of the Bortala Mongolia Autonomy, Xinjiang Uigur Autonomy region on June 9. </w:t>
      </w:r>
    </w:p>
    <w:p>
      <w:pPr>
        <w:autoSpaceDN w:val="0"/>
        <w:tabs>
          <w:tab w:pos="430" w:val="left"/>
        </w:tabs>
        <w:autoSpaceDE w:val="0"/>
        <w:widowControl/>
        <w:spacing w:line="245" w:lineRule="auto" w:before="18" w:after="0"/>
        <w:ind w:left="192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(4) If more than two earthquake events are identified according to the time differences, the one with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greatest magnitude should be considered as the one which cause the precursor wave. </w:t>
      </w:r>
    </w:p>
    <w:p>
      <w:pPr>
        <w:autoSpaceDN w:val="0"/>
        <w:autoSpaceDE w:val="0"/>
        <w:widowControl/>
        <w:spacing w:line="230" w:lineRule="auto" w:before="4036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Fig. 5  The precursor waves recorded at two collection stations on June 6, 2010</w:t>
      </w:r>
    </w:p>
    <w:p>
      <w:pPr>
        <w:autoSpaceDN w:val="0"/>
        <w:autoSpaceDE w:val="0"/>
        <w:widowControl/>
        <w:spacing w:line="230" w:lineRule="auto" w:before="258" w:after="0"/>
        <w:ind w:left="192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3.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Method and result </w:t>
      </w:r>
    </w:p>
    <w:p>
      <w:pPr>
        <w:autoSpaceDN w:val="0"/>
        <w:autoSpaceDE w:val="0"/>
        <w:widowControl/>
        <w:spacing w:line="247" w:lineRule="auto" w:before="258" w:after="0"/>
        <w:ind w:left="192" w:right="57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According to the above-mentioned rules, the collected data are divided into four categories: the first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category includes the 44 groups of data in which precursor waves are followed by earthquake events within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72 hours; the second includes the rest 21 groups of data, in which no earthquake events follow the precursor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waves within 72 hours. In the data of 218 days in which no precursor wave appears, some earthquake events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happen as well, therefore the third category includes the 102 days’ data with no precursor wave or earthquake,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the fourth includes the 116 days’ data with earthquakes but no precursor wave. </w:t>
      </w:r>
    </w:p>
    <w:p>
      <w:pPr>
        <w:autoSpaceDN w:val="0"/>
        <w:tabs>
          <w:tab w:pos="430" w:val="left"/>
        </w:tabs>
        <w:autoSpaceDE w:val="0"/>
        <w:widowControl/>
        <w:spacing w:line="245" w:lineRule="auto" w:before="18" w:after="196"/>
        <w:ind w:left="192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Three indexes are commonly used to evaluate the prediction results, including accuracy, specificity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sensitivity. The definitions are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0.0" w:type="dxa"/>
      </w:tblPr>
      <w:tblGrid>
        <w:gridCol w:w="806"/>
        <w:gridCol w:w="806"/>
        <w:gridCol w:w="806"/>
        <w:gridCol w:w="806"/>
        <w:gridCol w:w="806"/>
        <w:gridCol w:w="806"/>
        <w:gridCol w:w="806"/>
        <w:gridCol w:w="806"/>
        <w:gridCol w:w="806"/>
        <w:gridCol w:w="806"/>
        <w:gridCol w:w="806"/>
        <w:gridCol w:w="806"/>
      </w:tblGrid>
      <w:tr>
        <w:trPr>
          <w:trHeight w:hRule="exact" w:val="380"/>
        </w:trPr>
        <w:tc>
          <w:tcPr>
            <w:tcW w:type="dxa" w:w="2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2" w:after="0"/>
              <w:ind w:left="0" w:right="12" w:firstLine="0"/>
              <w:jc w:val="right"/>
            </w:pPr>
            <w:r>
              <w:rPr>
                <w:w w:val="98.55738930080248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accuracy</w:t>
            </w:r>
          </w:p>
        </w:tc>
        <w:tc>
          <w:tcPr>
            <w:tcW w:type="dxa" w:w="2160"/>
            <w:gridSpan w:val="9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6" w:val="left"/>
                <w:tab w:pos="1186" w:val="left"/>
              </w:tabs>
              <w:autoSpaceDE w:val="0"/>
              <w:widowControl/>
              <w:spacing w:line="240" w:lineRule="auto" w:before="4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46200" cy="1651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8.55738930080248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 xml:space="preserve">TP </w:t>
            </w:r>
            <w:r>
              <w:tab/>
            </w:r>
            <w:r>
              <w:rPr>
                <w:w w:val="98.55738930080248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TN</w:t>
            </w:r>
          </w:p>
        </w:tc>
        <w:tc>
          <w:tcPr>
            <w:tcW w:type="dxa" w:w="1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2" w:after="0"/>
              <w:ind w:left="10" w:right="0" w:firstLine="0"/>
              <w:jc w:val="left"/>
            </w:pPr>
            <w:r>
              <w:rPr>
                <w:w w:val="98.55738930080248"/>
                <w:rFonts w:ascii="TimesNewRomanPSMT" w:hAnsi="TimesNewRomanPSMT" w:eastAsia="TimesNewRomanPSMT"/>
                <w:b w:val="0"/>
                <w:i w:val="0"/>
                <w:color w:val="221F1F"/>
                <w:sz w:val="23"/>
              </w:rPr>
              <w:t>100%</w:t>
            </w:r>
          </w:p>
        </w:tc>
        <w:tc>
          <w:tcPr>
            <w:tcW w:type="dxa" w:w="17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52" w:after="0"/>
              <w:ind w:left="0" w:right="294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 xml:space="preserve"> (1) </w:t>
            </w:r>
          </w:p>
        </w:tc>
      </w:tr>
      <w:tr>
        <w:trPr>
          <w:trHeight w:hRule="exact" w:val="300"/>
        </w:trPr>
        <w:tc>
          <w:tcPr>
            <w:tcW w:type="dxa" w:w="806"/>
            <w:vMerge/>
            <w:tcBorders/>
          </w:tcPr>
          <w:p/>
        </w:tc>
        <w:tc>
          <w:tcPr>
            <w:tcW w:type="dxa" w:w="5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16" w:firstLine="0"/>
              <w:jc w:val="right"/>
            </w:pPr>
            <w:r>
              <w:rPr>
                <w:w w:val="98.55738930080248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TP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762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8.55738930080248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FP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8.55738930080248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TN</w:t>
            </w:r>
          </w:p>
        </w:tc>
        <w:tc>
          <w:tcPr>
            <w:tcW w:type="dxa" w:w="2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762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24" w:right="0" w:firstLine="0"/>
              <w:jc w:val="left"/>
            </w:pPr>
            <w:r>
              <w:rPr>
                <w:w w:val="98.55738930080248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FN</w:t>
            </w:r>
          </w:p>
        </w:tc>
        <w:tc>
          <w:tcPr>
            <w:tcW w:type="dxa" w:w="806"/>
            <w:vMerge/>
            <w:tcBorders/>
          </w:tcPr>
          <w:p/>
        </w:tc>
        <w:tc>
          <w:tcPr>
            <w:tcW w:type="dxa" w:w="806"/>
            <w:vMerge/>
            <w:tcBorders/>
          </w:tcPr>
          <w:p/>
        </w:tc>
      </w:tr>
      <w:tr>
        <w:trPr>
          <w:trHeight w:hRule="exact" w:val="620"/>
        </w:trPr>
        <w:tc>
          <w:tcPr>
            <w:tcW w:type="dxa" w:w="27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0" w:after="0"/>
              <w:ind w:left="0" w:right="20" w:firstLine="0"/>
              <w:jc w:val="right"/>
            </w:pPr>
            <w:r>
              <w:rPr>
                <w:w w:val="97.95043779456097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sensitivity</w:t>
            </w:r>
          </w:p>
        </w:tc>
        <w:tc>
          <w:tcPr>
            <w:tcW w:type="dxa" w:w="116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0" w:firstLine="0"/>
              <w:jc w:val="center"/>
            </w:pPr>
            <w:r>
              <w:rPr>
                <w:w w:val="97.95043779456097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TP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11200" cy="762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w w:val="97.95043779456097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TP</w:t>
            </w:r>
            <w:r>
              <w:drawing>
                <wp:inline xmlns:a="http://schemas.openxmlformats.org/drawingml/2006/main" xmlns:pic="http://schemas.openxmlformats.org/drawingml/2006/picture">
                  <wp:extent cx="76200" cy="889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7.95043779456097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FN</w:t>
            </w:r>
          </w:p>
        </w:tc>
        <w:tc>
          <w:tcPr>
            <w:tcW w:type="dxa" w:w="6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0" w:after="0"/>
              <w:ind w:left="0" w:right="0" w:firstLine="0"/>
              <w:jc w:val="center"/>
            </w:pPr>
            <w:r>
              <w:rPr>
                <w:w w:val="97.95043779456097"/>
                <w:rFonts w:ascii="TimesNewRomanPSMT" w:hAnsi="TimesNewRomanPSMT" w:eastAsia="TimesNewRomanPSMT"/>
                <w:b w:val="0"/>
                <w:i w:val="0"/>
                <w:color w:val="221F1F"/>
                <w:sz w:val="23"/>
              </w:rPr>
              <w:t>100%</w:t>
            </w:r>
          </w:p>
        </w:tc>
        <w:tc>
          <w:tcPr>
            <w:tcW w:type="dxa" w:w="806"/>
            <w:vMerge/>
            <w:tcBorders/>
          </w:tcPr>
          <w:p/>
        </w:tc>
        <w:tc>
          <w:tcPr>
            <w:tcW w:type="dxa" w:w="1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98" w:after="0"/>
              <w:ind w:left="0" w:right="294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 xml:space="preserve"> (2) </w:t>
            </w:r>
          </w:p>
        </w:tc>
      </w:tr>
      <w:tr>
        <w:trPr>
          <w:trHeight w:hRule="exact" w:val="632"/>
        </w:trPr>
        <w:tc>
          <w:tcPr>
            <w:tcW w:type="dxa" w:w="28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6" w:after="0"/>
              <w:ind w:left="0" w:right="60" w:firstLine="0"/>
              <w:jc w:val="right"/>
            </w:pPr>
            <w:r>
              <w:rPr>
                <w:w w:val="97.95043779456097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specificity</w:t>
            </w:r>
          </w:p>
        </w:tc>
        <w:tc>
          <w:tcPr>
            <w:tcW w:type="dxa" w:w="1660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  <w:tab w:pos="500" w:val="left"/>
                <w:tab w:pos="686" w:val="left"/>
              </w:tabs>
              <w:autoSpaceDE w:val="0"/>
              <w:widowControl/>
              <w:spacing w:line="240" w:lineRule="auto" w:before="14" w:after="0"/>
              <w:ind w:left="176" w:right="0" w:firstLine="0"/>
              <w:jc w:val="left"/>
            </w:pPr>
            <w:r>
              <w:tab/>
            </w:r>
            <w:r>
              <w:rPr>
                <w:w w:val="97.95043779456097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 xml:space="preserve">TN </w:t>
            </w:r>
            <w:r>
              <w:br/>
            </w:r>
            <w:r>
              <w:rPr>
                <w:w w:val="97.95043779456097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>TN</w:t>
            </w:r>
            <w:r>
              <w:drawing>
                <wp:inline xmlns:a="http://schemas.openxmlformats.org/drawingml/2006/main" xmlns:pic="http://schemas.openxmlformats.org/drawingml/2006/picture">
                  <wp:extent cx="88900" cy="889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7.95043779456097"/>
                <w:rFonts w:ascii="TimesNewRomanPS" w:hAnsi="TimesNewRomanPS" w:eastAsia="TimesNewRomanPS"/>
                <w:b w:val="0"/>
                <w:i/>
                <w:color w:val="221F1F"/>
                <w:sz w:val="23"/>
              </w:rPr>
              <w:t xml:space="preserve">FP </w:t>
            </w:r>
            <w:r>
              <w:rPr>
                <w:w w:val="97.95043779456097"/>
                <w:rFonts w:ascii="TimesNewRomanPSMT" w:hAnsi="TimesNewRomanPSMT" w:eastAsia="TimesNewRomanPSMT"/>
                <w:b w:val="0"/>
                <w:i w:val="0"/>
                <w:color w:val="221F1F"/>
                <w:sz w:val="23"/>
              </w:rPr>
              <w:t>100%</w:t>
            </w:r>
          </w:p>
        </w:tc>
        <w:tc>
          <w:tcPr>
            <w:tcW w:type="dxa" w:w="806"/>
            <w:vMerge/>
            <w:tcBorders/>
          </w:tcPr>
          <w:p/>
        </w:tc>
        <w:tc>
          <w:tcPr>
            <w:tcW w:type="dxa" w:w="1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2" w:after="0"/>
              <w:ind w:left="0" w:right="294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221F1F"/>
                <w:sz w:val="20"/>
              </w:rPr>
              <w:t xml:space="preserve"> (3) </w:t>
            </w:r>
          </w:p>
        </w:tc>
      </w:tr>
    </w:tbl>
    <w:p>
      <w:pPr>
        <w:autoSpaceDN w:val="0"/>
        <w:autoSpaceDE w:val="0"/>
        <w:widowControl/>
        <w:spacing w:line="245" w:lineRule="auto" w:before="8" w:after="0"/>
        <w:ind w:left="192" w:right="586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True positive(TP) stands for the first category, fake positive(FP) stands for the second category, true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negative(TN) stands for the third category, and fake negative(FN) stands for the fourth category. Obviously,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our study, TP = 25, TN = 179, FP = 40, FN = 39. Therefore, the values of the three indexes are: accuracy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72.08%, sensitivity 39.06%, and specificity 81.73%. </w:t>
      </w:r>
    </w:p>
    <w:p>
      <w:pPr>
        <w:sectPr>
          <w:pgSz w:w="10885" w:h="14854"/>
          <w:pgMar w:top="368" w:right="532" w:bottom="1186" w:left="680" w:header="720" w:footer="720" w:gutter="0"/>
          <w:cols w:space="720" w:num="1" w:equalWidth="0">
            <w:col w:w="9674" w:space="0"/>
            <w:col w:w="9548" w:space="0"/>
            <w:col w:w="9674" w:space="0"/>
            <w:col w:w="95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72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618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Liyu Huang et al. /  AASRI Procedia  3 ( 2012 )  613 – 618 </w:t>
      </w:r>
    </w:p>
    <w:p>
      <w:pPr>
        <w:autoSpaceDN w:val="0"/>
        <w:autoSpaceDE w:val="0"/>
        <w:widowControl/>
        <w:spacing w:line="245" w:lineRule="auto" w:before="396" w:after="0"/>
        <w:ind w:left="190" w:right="45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It could be concluded from the results that although the specificity is relatively high, the accuracy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sensitivity are somewhat low with the intuitionistic classification and prediction method. Modern signal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processing and pattern recognition method will be applied in analyzing the precursor wave, which could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further increase the accuracy.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>4.</w:t>
      </w: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Discussion </w:t>
      </w:r>
    </w:p>
    <w:p>
      <w:pPr>
        <w:autoSpaceDN w:val="0"/>
        <w:autoSpaceDE w:val="0"/>
        <w:widowControl/>
        <w:spacing w:line="247" w:lineRule="auto" w:before="258" w:after="0"/>
        <w:ind w:left="192" w:right="448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Previous research has shown that plenty of tiny dislocation or rupture emerges in the epicenter and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neighboring medium shell before a great earthquake happens. Connection of a large number of tiny rupture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further development of the dislocation will lead to bigger rupture and greater dislocation. Before the main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rupture, there will be a longtime creep and grind of the fault, the crack becomes unstable and expand, which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eventually cause an earthquake. Before an earthquake, there will be a slow and steady expansion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unceasing secondary rupture or tiny rupture of the fault. The creep and grind of the rupture and fault may be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origin of the precursor waves, which have close relationships with the main rupture of the earthquake. </w:t>
      </w:r>
    </w:p>
    <w:p>
      <w:pPr>
        <w:autoSpaceDN w:val="0"/>
        <w:tabs>
          <w:tab w:pos="428" w:val="left"/>
        </w:tabs>
        <w:autoSpaceDE w:val="0"/>
        <w:widowControl/>
        <w:spacing w:line="247" w:lineRule="auto" w:before="18" w:after="0"/>
        <w:ind w:left="192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There are still many problems worthy of further improvement and discussion: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(1) Under the support of earthquake monitoring center of Shaanxi Earthquake Bureau, earthquake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precursor wave recording devices based on liquid-suspension principle were placed at Ziwu, Qianling,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Louguan respectively and continuous signal recording had been implemented for over a year. Comparing with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propagation speed of the precursor waves, the three data collection stations are too close to each other,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which has a certain impact on locating the epicenter. Accordingly, recording devices were relocated in Gansu,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Henan, Sichuan and Shaanxi, which are relatively far away from each other. The new data recording process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has started from July 21, 2011. </w:t>
      </w:r>
    </w:p>
    <w:p>
      <w:pPr>
        <w:autoSpaceDN w:val="0"/>
        <w:autoSpaceDE w:val="0"/>
        <w:widowControl/>
        <w:spacing w:line="245" w:lineRule="auto" w:before="18" w:after="0"/>
        <w:ind w:left="192" w:right="450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(2) Due to lacking a solid theoretical basis about the amplitude of the precursor wave, the magnitude that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might trigger it, and the epicenter locating problem, combined with existing research results and the actual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situation, several standards are put up before preprocessing. The user-defined standards may affect the final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prediction accuracy. </w:t>
      </w:r>
    </w:p>
    <w:p>
      <w:pPr>
        <w:autoSpaceDN w:val="0"/>
        <w:autoSpaceDE w:val="0"/>
        <w:widowControl/>
        <w:spacing w:line="245" w:lineRule="auto" w:before="18" w:after="0"/>
        <w:ind w:left="192" w:right="450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Although there are many shortcomings in this study, precursor waves with ultra low-frequency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recorded by self-designed devices, and a new signal processing algorithm and classification algorithm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applied. Certain conclusions are obtained for the reference of fellows in China or abroad. </w:t>
      </w:r>
    </w:p>
    <w:p>
      <w:pPr>
        <w:autoSpaceDN w:val="0"/>
        <w:autoSpaceDE w:val="0"/>
        <w:widowControl/>
        <w:spacing w:line="230" w:lineRule="auto" w:before="258" w:after="0"/>
        <w:ind w:left="192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Acknowledgements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58" w:after="0"/>
        <w:ind w:left="192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This work is financially supported by the National Natural Science Foundation of China under grant NO.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81071221 and NO. 31271063.</w:t>
      </w:r>
    </w:p>
    <w:p>
      <w:pPr>
        <w:autoSpaceDN w:val="0"/>
        <w:autoSpaceDE w:val="0"/>
        <w:widowControl/>
        <w:spacing w:line="230" w:lineRule="auto" w:before="482" w:after="0"/>
        <w:ind w:left="192" w:right="0" w:firstLine="0"/>
        <w:jc w:val="left"/>
      </w:pPr>
      <w:r>
        <w:rPr>
          <w:rFonts w:ascii="TimesNewRomanPS" w:hAnsi="TimesNewRomanPS" w:eastAsia="TimesNewRomanPS"/>
          <w:b/>
          <w:i w:val="0"/>
          <w:color w:val="221F1F"/>
          <w:sz w:val="20"/>
        </w:rPr>
        <w:t xml:space="preserve">References </w:t>
      </w:r>
    </w:p>
    <w:p>
      <w:pPr>
        <w:autoSpaceDN w:val="0"/>
        <w:autoSpaceDE w:val="0"/>
        <w:widowControl/>
        <w:spacing w:line="245" w:lineRule="auto" w:before="204" w:after="0"/>
        <w:ind w:left="190" w:right="432" w:firstLine="2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[1] Kanamori H, Cipar JJ.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Focal process of the great Chilean earthquake on May 22, 1960.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Physics of the Earth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Planetary Interiors  1974;  9:128-136. </w:t>
      </w:r>
    </w:p>
    <w:p>
      <w:pPr>
        <w:autoSpaceDN w:val="0"/>
        <w:autoSpaceDE w:val="0"/>
        <w:widowControl/>
        <w:spacing w:line="245" w:lineRule="auto" w:before="8" w:after="0"/>
        <w:ind w:left="19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[2] Kizawa T. Gravimeter recording before and after great earthquake. Abroad Earthquake  1992; 1: 19-41.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[3] Chen D, Luo R, Liu G. Preliminary discussion on the classification of anomaly patterns of ground tilting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its problems concerned. Crustal Deformation &amp; Earthquake  1985; 5:185-209. </w:t>
      </w:r>
    </w:p>
    <w:p>
      <w:pPr>
        <w:autoSpaceDN w:val="0"/>
        <w:autoSpaceDE w:val="0"/>
        <w:widowControl/>
        <w:spacing w:line="245" w:lineRule="auto" w:before="10" w:after="0"/>
        <w:ind w:left="190" w:right="288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[4] Information on http://www.ceic.ac.cn/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[5] Information on http://www.csndmc.ac.cn/newweb/index.jsp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[6] Information on http://www.csndmc.ac.cn/newweb/catalog_direct_ link.htm </w:t>
      </w:r>
    </w:p>
    <w:sectPr w:rsidR="00FC693F" w:rsidRPr="0006063C" w:rsidSect="00034616">
      <w:pgSz w:w="10885" w:h="14854"/>
      <w:pgMar w:top="368" w:right="724" w:bottom="1186" w:left="624" w:header="720" w:footer="720" w:gutter="0"/>
      <w:cols w:space="720" w:num="1" w:equalWidth="0">
        <w:col w:w="9538" w:space="0"/>
        <w:col w:w="9674" w:space="0"/>
        <w:col w:w="9548" w:space="0"/>
        <w:col w:w="9674" w:space="0"/>
        <w:col w:w="9566" w:space="0"/>
        <w:col w:w="96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