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2016" w:right="2016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32"/>
        </w:rPr>
        <w:t>Artificial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Intelligence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in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the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>Life</w:t>
      </w:r>
      <w:r>
        <w:rPr>
          <w:rFonts w:ascii="HelveticaLTStd" w:hAnsi="HelveticaLTStd" w:eastAsia="HelveticaLTStd"/>
          <w:b/>
          <w:i w:val="0"/>
          <w:color w:val="000000"/>
          <w:sz w:val="32"/>
        </w:rPr>
        <w:t xml:space="preserve">Sciences </w:t>
      </w:r>
      <w:r>
        <w:rPr>
          <w:rFonts w:ascii="HelveticaLTStd" w:hAnsi="HelveticaLTStd" w:eastAsia="HelveticaLTStd"/>
          <w:b/>
          <w:i w:val="0"/>
          <w:color w:val="000000"/>
          <w:sz w:val="22"/>
        </w:rPr>
        <w:t>Editorial</w:t>
      </w:r>
      <w:r>
        <w:rPr>
          <w:rFonts w:ascii="HelveticaLTStd" w:hAnsi="HelveticaLTStd" w:eastAsia="HelveticaLTStd"/>
          <w:b/>
          <w:i w:val="0"/>
          <w:color w:val="000000"/>
          <w:sz w:val="22"/>
        </w:rPr>
        <w:t xml:space="preserve">Board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Editor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in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Chief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Jürgen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Bajorath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Bonn,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Germany</w:t>
      </w:r>
    </w:p>
    <w:p>
      <w:pPr>
        <w:autoSpaceDN w:val="0"/>
        <w:autoSpaceDE w:val="0"/>
        <w:widowControl/>
        <w:spacing w:line="258" w:lineRule="exact" w:before="222" w:after="0"/>
        <w:ind w:left="1872" w:right="1728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Associate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Editors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Raquel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Rodriguez-Perez,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Novartis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BioMedical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Basel,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Switzerland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Mingyue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Zheng,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Chinese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Academy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Sciences,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Shanghai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Materia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Medica,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China</w:t>
      </w:r>
    </w:p>
    <w:p>
      <w:pPr>
        <w:autoSpaceDN w:val="0"/>
        <w:autoSpaceDE w:val="0"/>
        <w:widowControl/>
        <w:spacing w:line="202" w:lineRule="exact" w:before="280" w:after="246"/>
        <w:ind w:left="0" w:right="0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Editorial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Board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Members</w:t>
      </w:r>
    </w:p>
    <w:p>
      <w:pPr>
        <w:sectPr>
          <w:pgSz w:w="11905" w:h="15878"/>
          <w:pgMar w:top="624" w:right="804" w:bottom="1440" w:left="758" w:header="720" w:footer="720" w:gutter="0"/>
          <w:cols w:space="720" w:num="1" w:equalWidth="0"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144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Bissan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Al-Lazikani,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Cancer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Stefano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Alcaro,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Magna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Graecia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Catanzaro,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Italy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Nathan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Brown,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BenevolentAI,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Stephen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Carney,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Elsevier,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Drug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Discovery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Today,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Hongming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Chen,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Bioland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Laboratory,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China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Connor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Coley,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Massachusetts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Technology,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</w:p>
    <w:p>
      <w:pPr>
        <w:sectPr>
          <w:type w:val="continuous"/>
          <w:pgSz w:w="11905" w:h="15878"/>
          <w:pgMar w:top="624" w:right="804" w:bottom="1440" w:left="758" w:header="720" w:footer="720" w:gutter="0"/>
          <w:cols w:space="720" w:num="2" w:equalWidth="0"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10"/>
        <w:ind w:left="178" w:right="144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Melissa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Landon,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Cyclica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Canada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Qi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Liu,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Tongji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China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Filip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Miljkovi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´c,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AstraZeneca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AB,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Sweden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Tomoyuki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Miyao,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Nara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Science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Technology,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Japan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Floriane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Montanari,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Bayer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Schering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Pharma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AG,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Germany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Arif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Nathoo,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Komodo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Health,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Inc.,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America</w:t>
      </w:r>
    </w:p>
    <w:p>
      <w:pPr>
        <w:sectPr>
          <w:type w:val="nextColumn"/>
          <w:pgSz w:w="11905" w:h="15878"/>
          <w:pgMar w:top="624" w:right="804" w:bottom="1440" w:left="758" w:header="720" w:footer="720" w:gutter="0"/>
          <w:cols w:space="720" w:num="2" w:equalWidth="0"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84" w:lineRule="exact" w:before="0" w:after="0"/>
        <w:ind w:left="0" w:right="0" w:firstLine="0"/>
        <w:jc w:val="left"/>
      </w:pP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Giuseppe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Nicosia,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Cambridge,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Kingdom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10" w:after="0"/>
        <w:ind w:left="0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Sean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Ekins,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Collaborations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Pharmaceuticals,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Inc.,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John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Overington,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Medicines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Discovery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Catapult,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Kingdom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4" w:after="0"/>
        <w:ind w:left="0" w:right="0" w:firstLine="0"/>
        <w:jc w:val="left"/>
      </w:pP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Nadine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Schneider,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Novartis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Institutes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BioMedical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Basel,</w:t>
      </w:r>
    </w:p>
    <w:p>
      <w:pPr>
        <w:autoSpaceDN w:val="0"/>
        <w:tabs>
          <w:tab w:pos="5380" w:val="left"/>
        </w:tabs>
        <w:autoSpaceDE w:val="0"/>
        <w:widowControl/>
        <w:spacing w:line="190" w:lineRule="exact" w:before="8" w:after="10"/>
        <w:ind w:left="0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Ola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Engkvist,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AstraZeneca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AB,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Sweden </w:t>
      </w:r>
      <w:r>
        <w:tab/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Basel,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Switzerland</w:t>
      </w:r>
    </w:p>
    <w:p>
      <w:pPr>
        <w:sectPr>
          <w:type w:val="continuous"/>
          <w:pgSz w:w="11905" w:h="15878"/>
          <w:pgMar w:top="624" w:right="804" w:bottom="1440" w:left="758" w:header="720" w:footer="720" w:gutter="0"/>
          <w:cols w:space="720" w:num="1" w:equalWidth="0"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144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Steve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Gardner,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PrecisionLife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Francesca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Grisoni,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Eindhoven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Technology,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Netherlands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Carolina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Horta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Andrade,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Laboratory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Molecular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Modeling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and</w:t>
      </w:r>
    </w:p>
    <w:p>
      <w:pPr>
        <w:sectPr>
          <w:type w:val="continuous"/>
          <w:pgSz w:w="11905" w:h="15878"/>
          <w:pgMar w:top="624" w:right="804" w:bottom="1440" w:left="758" w:header="720" w:footer="720" w:gutter="0"/>
          <w:cols w:space="720" w:num="2" w:equalWidth="0">
            <w:col w:w="5148" w:space="0"/>
            <w:col w:w="5194" w:space="0"/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14"/>
        <w:ind w:left="232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Marwin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Segler,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Microsoft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Research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Cambridge,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Noor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Shaker,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Glamorous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Kingdom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Jinshan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Tang,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George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Mason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Fairfax,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Virginia,</w:t>
      </w:r>
    </w:p>
    <w:p>
      <w:pPr>
        <w:sectPr>
          <w:type w:val="nextColumn"/>
          <w:pgSz w:w="11905" w:h="15878"/>
          <w:pgMar w:top="624" w:right="804" w:bottom="1440" w:left="758" w:header="720" w:footer="720" w:gutter="0"/>
          <w:cols w:space="720" w:num="2" w:equalWidth="0">
            <w:col w:w="5148" w:space="0"/>
            <w:col w:w="5194" w:space="0"/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86" w:lineRule="exact" w:before="0" w:after="10"/>
        <w:ind w:left="0" w:right="0" w:firstLine="0"/>
        <w:jc w:val="left"/>
      </w:pP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Drug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Design,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GOIÂNIA,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Brazil </w:t>
      </w:r>
      <w:r>
        <w:tab/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America</w:t>
      </w:r>
    </w:p>
    <w:p>
      <w:pPr>
        <w:sectPr>
          <w:type w:val="continuous"/>
          <w:pgSz w:w="11905" w:h="15878"/>
          <w:pgMar w:top="624" w:right="804" w:bottom="1440" w:left="758" w:header="720" w:footer="720" w:gutter="0"/>
          <w:cols w:space="720" w:num="1" w:equalWidth="0">
            <w:col w:w="10342" w:space="0"/>
            <w:col w:w="5148" w:space="0"/>
            <w:col w:w="5194" w:space="0"/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288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Steven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Kearnes,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Relay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Therapeutics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Johannes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Kirchmair,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Vienna,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Austria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Ryo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Kunimoto,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Daiichi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Sankyo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Co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Ltd,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Japan</w:t>
      </w:r>
    </w:p>
    <w:p>
      <w:pPr>
        <w:sectPr>
          <w:type w:val="continuous"/>
          <w:pgSz w:w="11905" w:h="15878"/>
          <w:pgMar w:top="624" w:right="804" w:bottom="1440" w:left="758" w:header="720" w:footer="720" w:gutter="0"/>
          <w:cols w:space="720" w:num="2" w:equalWidth="0">
            <w:col w:w="5058" w:space="0"/>
            <w:col w:w="5284" w:space="0"/>
            <w:col w:w="10342" w:space="0"/>
            <w:col w:w="5148" w:space="0"/>
            <w:col w:w="5194" w:space="0"/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518"/>
        <w:ind w:left="322" w:right="0" w:firstLine="0"/>
        <w:jc w:val="left"/>
      </w:pPr>
      <w:r>
        <w:rPr>
          <w:rFonts w:ascii="HelveticaLTStd" w:hAnsi="HelveticaLTStd" w:eastAsia="HelveticaLTStd"/>
          <w:b/>
          <w:i w:val="0"/>
          <w:color w:val="000000"/>
          <w:sz w:val="16"/>
        </w:rPr>
        <w:t>Andrea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Volkamer,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Charite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Hospital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Berlin,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Germany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W.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Patrick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Walters,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Relay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Therapeutics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Inc,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United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States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of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 xml:space="preserve">America 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Leyi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Wei,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Shandong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University,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China</w:t>
      </w:r>
    </w:p>
    <w:p>
      <w:pPr>
        <w:sectPr>
          <w:type w:val="nextColumn"/>
          <w:pgSz w:w="11905" w:h="15878"/>
          <w:pgMar w:top="624" w:right="804" w:bottom="1440" w:left="758" w:header="720" w:footer="720" w:gutter="0"/>
          <w:cols w:space="720" w:num="2" w:equalWidth="0">
            <w:col w:w="5058" w:space="0"/>
            <w:col w:w="5284" w:space="0"/>
            <w:col w:w="10342" w:space="0"/>
            <w:col w:w="5148" w:space="0"/>
            <w:col w:w="5194" w:space="0"/>
            <w:col w:w="10342" w:space="0"/>
            <w:col w:w="5202" w:space="0"/>
            <w:col w:w="5140" w:space="0"/>
            <w:col w:w="10342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728" w:right="1728" w:firstLine="0"/>
        <w:jc w:val="center"/>
      </w:pPr>
      <w:r>
        <w:rPr>
          <w:rFonts w:ascii="HelveticaLTStd" w:hAnsi="HelveticaLTStd" w:eastAsia="HelveticaLTStd"/>
          <w:b/>
          <w:i w:val="0"/>
          <w:color w:val="000000"/>
          <w:sz w:val="17"/>
        </w:rPr>
        <w:t>Social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>Media</w:t>
      </w:r>
      <w:r>
        <w:rPr>
          <w:rFonts w:ascii="HelveticaLTStd" w:hAnsi="HelveticaLTStd" w:eastAsia="HelveticaLTStd"/>
          <w:b/>
          <w:i w:val="0"/>
          <w:color w:val="000000"/>
          <w:sz w:val="17"/>
        </w:rPr>
        <w:t xml:space="preserve">Editor </w:t>
      </w:r>
      <w:r>
        <w:br/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Bruna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Katiele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de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Paula</w:t>
      </w:r>
      <w:r>
        <w:rPr>
          <w:rFonts w:ascii="HelveticaLTStd" w:hAnsi="HelveticaLTStd" w:eastAsia="HelveticaLTStd"/>
          <w:b/>
          <w:i w:val="0"/>
          <w:color w:val="000000"/>
          <w:sz w:val="16"/>
        </w:rPr>
        <w:t>Sousa,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The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Laboratory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for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Molecular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Modeling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and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Drug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Design,</w:t>
      </w:r>
      <w:r>
        <w:rPr>
          <w:rFonts w:ascii="HelveticaLTStd" w:hAnsi="HelveticaLTStd" w:eastAsia="HelveticaLTStd"/>
          <w:b w:val="0"/>
          <w:i w:val="0"/>
          <w:color w:val="000000"/>
          <w:sz w:val="16"/>
        </w:rPr>
        <w:t>Brazil</w:t>
      </w:r>
    </w:p>
    <w:sectPr w:rsidR="00FC693F" w:rsidRPr="0006063C" w:rsidSect="00034616">
      <w:type w:val="continuous"/>
      <w:pgSz w:w="11905" w:h="15878"/>
      <w:pgMar w:top="624" w:right="804" w:bottom="1440" w:left="758" w:header="720" w:footer="720" w:gutter="0"/>
      <w:cols w:space="720" w:num="1" w:equalWidth="0">
        <w:col w:w="10342" w:space="0"/>
        <w:col w:w="5058" w:space="0"/>
        <w:col w:w="5284" w:space="0"/>
        <w:col w:w="10342" w:space="0"/>
        <w:col w:w="5148" w:space="0"/>
        <w:col w:w="5194" w:space="0"/>
        <w:col w:w="10342" w:space="0"/>
        <w:col w:w="5202" w:space="0"/>
        <w:col w:w="5140" w:space="0"/>
        <w:col w:w="103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