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162" w:lineRule="exact" w:before="0" w:after="180"/>
        <w:ind w:left="0" w:right="0" w:firstLine="0"/>
        <w:jc w:val="center"/>
      </w:pP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Arti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fi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cial Intelligence in Agriculture 5 (2021) 303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2604"/>
        <w:gridCol w:w="2604"/>
        <w:gridCol w:w="2604"/>
        <w:gridCol w:w="2604"/>
      </w:tblGrid>
      <w:tr>
        <w:trPr>
          <w:trHeight w:hRule="exact" w:val="62"/>
        </w:trPr>
        <w:tc>
          <w:tcPr>
            <w:tcW w:type="dxa" w:w="1476"/>
            <w:tcBorders>
              <w:bottom w:sz="2.399999999999977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8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4" w:after="0"/>
              <w:ind w:left="0" w:right="0" w:firstLine="0"/>
              <w:jc w:val="center"/>
            </w:pPr>
            <w:r>
              <w:rPr>
                <w:rFonts w:ascii="AdvTTc8c83e50" w:hAnsi="AdvTTc8c83e50" w:eastAsia="AdvTTc8c83e50"/>
                <w:b w:val="0"/>
                <w:i w:val="0"/>
                <w:color w:val="221F1F"/>
                <w:sz w:val="16"/>
              </w:rPr>
              <w:t>Contents lists available at</w:t>
            </w:r>
            <w:r>
              <w:rPr>
                <w:rFonts w:ascii="AdvTTc8c83e50" w:hAnsi="AdvTTc8c83e50" w:eastAsia="AdvTTc8c83e50"/>
                <w:b w:val="0"/>
                <w:i w:val="0"/>
                <w:color w:val="2E3092"/>
                <w:sz w:val="16"/>
              </w:rPr>
              <w:t xml:space="preserve"> </w:t>
            </w:r>
            <w:r>
              <w:rPr>
                <w:rFonts w:ascii="AdvTTc8c83e50" w:hAnsi="AdvTTc8c83e50" w:eastAsia="AdvTTc8c83e50"/>
                <w:b w:val="0"/>
                <w:i w:val="0"/>
                <w:color w:val="2E3092"/>
                <w:sz w:val="16"/>
              </w:rPr>
              <w:hyperlink r:id="rId9" w:history="1">
                <w:r>
                  <w:rPr>
                    <w:rStyle w:val="Hyperlink"/>
                  </w:rPr>
                  <w:t>ScienceDirect</w:t>
                </w:r>
              </w:hyperlink>
            </w:r>
          </w:p>
        </w:tc>
        <w:tc>
          <w:tcPr>
            <w:tcW w:type="dxa" w:w="1418"/>
            <w:vMerge w:val="restart"/>
            <w:tcBorders>
              <w:bottom w:sz="2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9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11199" cy="8966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199" cy="8966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04"/>
        </w:trPr>
        <w:tc>
          <w:tcPr>
            <w:tcW w:type="dxa" w:w="1476"/>
            <w:vMerge w:val="restart"/>
            <w:tcBorders>
              <w:top w:sz="2.3999999999999773" w:val="single" w:color="#221F1F"/>
              <w:bottom w:sz="2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18820" cy="7480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820" cy="7480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8"/>
            <w:gridSpan w:val="2"/>
            <w:vMerge/>
            <w:tcBorders/>
          </w:tcPr>
          <w:p/>
        </w:tc>
        <w:tc>
          <w:tcPr>
            <w:tcW w:type="dxa" w:w="2604"/>
            <w:vMerge/>
            <w:tcBorders>
              <w:bottom w:sz="24.0" w:val="single" w:color="#221F1F"/>
            </w:tcBorders>
          </w:tcPr>
          <w:p/>
        </w:tc>
      </w:tr>
      <w:tr>
        <w:trPr>
          <w:trHeight w:hRule="exact" w:val="540"/>
        </w:trPr>
        <w:tc>
          <w:tcPr>
            <w:tcW w:type="dxa" w:w="2604"/>
            <w:vMerge/>
            <w:tcBorders>
              <w:top w:sz="2.3999999999999773" w:val="single" w:color="#221F1F"/>
              <w:bottom w:sz="24.0" w:val="single" w:color="#221F1F"/>
            </w:tcBorders>
          </w:tcPr>
          <w:p/>
        </w:tc>
        <w:tc>
          <w:tcPr>
            <w:tcW w:type="dxa" w:w="7488"/>
            <w:gridSpan w:val="2"/>
            <w:tcBorders/>
            <w:shd w:fill="e6e7e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120" w:after="0"/>
              <w:ind w:left="0" w:right="0" w:firstLine="0"/>
              <w:jc w:val="center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28"/>
              </w:rPr>
              <w:t>Arti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28"/>
              </w:rPr>
              <w:t>fi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28"/>
              </w:rPr>
              <w:t>cial Intelligence in Agriculture</w:t>
            </w:r>
          </w:p>
        </w:tc>
        <w:tc>
          <w:tcPr>
            <w:tcW w:type="dxa" w:w="2604"/>
            <w:vMerge/>
            <w:tcBorders>
              <w:bottom w:sz="24.0" w:val="single" w:color="#221F1F"/>
            </w:tcBorders>
          </w:tcPr>
          <w:p/>
        </w:tc>
      </w:tr>
      <w:tr>
        <w:trPr>
          <w:trHeight w:hRule="exact" w:val="260"/>
        </w:trPr>
        <w:tc>
          <w:tcPr>
            <w:tcW w:type="dxa" w:w="2604"/>
            <w:vMerge/>
            <w:tcBorders>
              <w:top w:sz="2.3999999999999773" w:val="single" w:color="#221F1F"/>
              <w:bottom w:sz="24.0" w:val="single" w:color="#221F1F"/>
            </w:tcBorders>
          </w:tcPr>
          <w:p/>
        </w:tc>
        <w:tc>
          <w:tcPr>
            <w:tcW w:type="dxa" w:w="7488"/>
            <w:gridSpan w:val="2"/>
            <w:tcBorders/>
            <w:shd w:fill="e6e7e8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2" w:after="0"/>
              <w:ind w:left="0" w:right="0" w:firstLine="0"/>
              <w:jc w:val="center"/>
            </w:pPr>
            <w:r>
              <w:rPr>
                <w:rFonts w:ascii="AdvTTc8c83e50" w:hAnsi="AdvTTc8c83e50" w:eastAsia="AdvTTc8c83e50"/>
                <w:b w:val="0"/>
                <w:i w:val="0"/>
                <w:color w:val="221F1F"/>
                <w:sz w:val="16"/>
              </w:rPr>
              <w:t>journal homepage:</w:t>
            </w:r>
            <w:r>
              <w:rPr>
                <w:rFonts w:ascii="AdvTTc8c83e50" w:hAnsi="AdvTTc8c83e50" w:eastAsia="AdvTTc8c83e50"/>
                <w:b w:val="0"/>
                <w:i w:val="0"/>
                <w:color w:val="2E3092"/>
                <w:sz w:val="16"/>
              </w:rPr>
              <w:t xml:space="preserve"> </w:t>
            </w:r>
            <w:r>
              <w:rPr>
                <w:rFonts w:ascii="AdvTTc8c83e50" w:hAnsi="AdvTTc8c83e50" w:eastAsia="AdvTTc8c83e50"/>
                <w:b w:val="0"/>
                <w:i w:val="0"/>
                <w:color w:val="2E3092"/>
                <w:sz w:val="16"/>
              </w:rPr>
              <w:hyperlink r:id="rId12" w:history="1">
                <w:r>
                  <w:rPr>
                    <w:rStyle w:val="Hyperlink"/>
                  </w:rPr>
                  <w:t>http://www.keaipublishing.com/en/journals/artificial-</w:t>
                </w:r>
              </w:hyperlink>
            </w:r>
          </w:p>
        </w:tc>
        <w:tc>
          <w:tcPr>
            <w:tcW w:type="dxa" w:w="2604"/>
            <w:vMerge/>
            <w:tcBorders>
              <w:bottom w:sz="24.0" w:val="single" w:color="#221F1F"/>
            </w:tcBorders>
          </w:tcPr>
          <w:p/>
        </w:tc>
      </w:tr>
      <w:tr>
        <w:trPr>
          <w:trHeight w:hRule="exact" w:val="380"/>
        </w:trPr>
        <w:tc>
          <w:tcPr>
            <w:tcW w:type="dxa" w:w="2604"/>
            <w:vMerge/>
            <w:tcBorders>
              <w:top w:sz="2.3999999999999773" w:val="single" w:color="#221F1F"/>
              <w:bottom w:sz="24.0" w:val="single" w:color="#221F1F"/>
            </w:tcBorders>
          </w:tcPr>
          <w:p/>
        </w:tc>
        <w:tc>
          <w:tcPr>
            <w:tcW w:type="dxa" w:w="7488"/>
            <w:gridSpan w:val="2"/>
            <w:tcBorders>
              <w:bottom w:sz="2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0" w:after="0"/>
              <w:ind w:left="0" w:right="0" w:firstLine="0"/>
              <w:jc w:val="center"/>
            </w:pPr>
            <w:r>
              <w:rPr>
                <w:rFonts w:ascii="AdvTTc8c83e50" w:hAnsi="AdvTTc8c83e50" w:eastAsia="AdvTTc8c83e50"/>
                <w:b w:val="0"/>
                <w:i w:val="0"/>
                <w:color w:val="2E3092"/>
                <w:sz w:val="16"/>
              </w:rPr>
              <w:hyperlink r:id="rId12" w:history="1">
                <w:r>
                  <w:rPr>
                    <w:rStyle w:val="Hyperlink"/>
                  </w:rPr>
                  <w:t>intelligence-in-agriculture/</w:t>
                </w:r>
              </w:hyperlink>
            </w:r>
          </w:p>
        </w:tc>
        <w:tc>
          <w:tcPr>
            <w:tcW w:type="dxa" w:w="2604"/>
            <w:vMerge/>
            <w:tcBorders>
              <w:bottom w:sz="24.0" w:val="single" w:color="#221F1F"/>
            </w:tcBorders>
          </w:tcPr>
          <w:p/>
        </w:tc>
      </w:tr>
      <w:tr>
        <w:trPr>
          <w:trHeight w:hRule="exact" w:val="1520"/>
        </w:trPr>
        <w:tc>
          <w:tcPr>
            <w:tcW w:type="dxa" w:w="8964"/>
            <w:gridSpan w:val="3"/>
            <w:tcBorders>
              <w:top w:sz="2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538" w:after="0"/>
              <w:ind w:left="16" w:right="144" w:hanging="16"/>
              <w:jc w:val="left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27"/>
              </w:rPr>
              <w:t xml:space="preserve">Erratum regarding missing Declaration of Competing Interest statements 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27"/>
              </w:rPr>
              <w:t>in previously published articles</w:t>
            </w:r>
          </w:p>
        </w:tc>
        <w:tc>
          <w:tcPr>
            <w:tcW w:type="dxa" w:w="1418"/>
            <w:tcBorders>
              <w:top w:sz="2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90" w:after="0"/>
              <w:ind w:left="29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8300" cy="3683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60"/>
        </w:trPr>
        <w:tc>
          <w:tcPr>
            <w:tcW w:type="dxa" w:w="52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4" w:after="0"/>
              <w:ind w:left="0" w:right="0" w:firstLine="0"/>
              <w:jc w:val="center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Declaration of Competing Interest statements were not included in</w:t>
            </w:r>
          </w:p>
        </w:tc>
        <w:tc>
          <w:tcPr>
            <w:tcW w:type="dxa" w:w="51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58" w:after="0"/>
              <w:ind w:left="286" w:right="0" w:firstLine="0"/>
              <w:jc w:val="left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relationships that could have appeared to in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fl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uence the work re-</w:t>
            </w:r>
          </w:p>
        </w:tc>
      </w:tr>
      <w:tr>
        <w:trPr>
          <w:trHeight w:hRule="exact" w:val="192"/>
        </w:trPr>
        <w:tc>
          <w:tcPr>
            <w:tcW w:type="dxa" w:w="52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" w:after="0"/>
              <w:ind w:left="2" w:right="0" w:firstLine="0"/>
              <w:jc w:val="left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the published version of the following articles that appeared in previous</w:t>
            </w:r>
          </w:p>
        </w:tc>
        <w:tc>
          <w:tcPr>
            <w:tcW w:type="dxa" w:w="51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" w:after="0"/>
              <w:ind w:left="286" w:right="0" w:firstLine="0"/>
              <w:jc w:val="left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ported in this paper.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"/>
        <w:ind w:left="0" w:right="0"/>
      </w:pPr>
    </w:p>
    <w:p>
      <w:pPr>
        <w:sectPr>
          <w:pgSz w:w="11906" w:h="15874"/>
          <w:pgMar w:top="366" w:right="742" w:bottom="482" w:left="748" w:header="720" w:footer="720" w:gutter="0"/>
          <w:cols w:space="720" w:num="1" w:equalWidth="0">
            <w:col w:w="10416" w:space="0"/>
          </w:cols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16" w:right="0" w:firstLine="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issues of Arti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cial Intelligence in Agriculture.</w:t>
      </w:r>
    </w:p>
    <w:p>
      <w:pPr>
        <w:autoSpaceDN w:val="0"/>
        <w:tabs>
          <w:tab w:pos="254" w:val="left"/>
        </w:tabs>
        <w:autoSpaceDE w:val="0"/>
        <w:widowControl/>
        <w:spacing w:line="206" w:lineRule="exact" w:before="0" w:after="0"/>
        <w:ind w:left="16" w:right="144" w:firstLine="0"/>
        <w:jc w:val="left"/>
      </w:pPr>
      <w:r>
        <w:tab/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The appropriate Declaration/Competing Interest statements, pro-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vided by the Authors, are included below.</w:t>
      </w:r>
    </w:p>
    <w:p>
      <w:pPr>
        <w:autoSpaceDN w:val="0"/>
        <w:autoSpaceDE w:val="0"/>
        <w:widowControl/>
        <w:spacing w:line="208" w:lineRule="exact" w:before="108" w:after="8"/>
        <w:ind w:left="218" w:right="144" w:hanging="202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1.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“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Comparison of veracity and application of different CFD turbulence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models for refrigerated transport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”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[Arti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cial Intelligence in Agricul-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ture, 2019; 3: 11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–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17]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https://10.1016/j.aiia.2019.10.001 </w:t>
      </w:r>
      <w:r>
        <w:br/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Declaration of competing interest: The authors declare that they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1302"/>
        <w:gridCol w:w="1302"/>
        <w:gridCol w:w="1302"/>
        <w:gridCol w:w="1302"/>
        <w:gridCol w:w="1302"/>
        <w:gridCol w:w="1302"/>
        <w:gridCol w:w="1302"/>
        <w:gridCol w:w="1302"/>
      </w:tblGrid>
      <w:tr>
        <w:trPr>
          <w:trHeight w:hRule="exact" w:val="26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have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no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known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competing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" w:after="0"/>
              <w:ind w:left="0" w:right="0" w:firstLine="0"/>
              <w:jc w:val="center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fi</w:t>
            </w: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nancial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interests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or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" w:after="0"/>
              <w:ind w:left="0" w:right="0" w:firstLine="0"/>
              <w:jc w:val="center"/>
            </w:pPr>
            <w:r>
              <w:rPr>
                <w:rFonts w:ascii="AdvTT5235d5a9" w:hAnsi="AdvTT5235d5a9" w:eastAsia="AdvTT5235d5a9"/>
                <w:b w:val="0"/>
                <w:i w:val="0"/>
                <w:color w:val="221F1F"/>
                <w:sz w:val="16"/>
              </w:rPr>
              <w:t>personal</w:t>
            </w:r>
          </w:p>
        </w:tc>
      </w:tr>
    </w:tbl>
    <w:p>
      <w:pPr>
        <w:autoSpaceDN w:val="0"/>
        <w:autoSpaceDE w:val="0"/>
        <w:widowControl/>
        <w:spacing w:line="156" w:lineRule="exact" w:before="7654" w:after="0"/>
        <w:ind w:left="16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https://doi.org/10.1016/j.aiia.2021.01.001</w:t>
      </w:r>
    </w:p>
    <w:p>
      <w:pPr>
        <w:sectPr>
          <w:type w:val="continuous"/>
          <w:pgSz w:w="11906" w:h="15874"/>
          <w:pgMar w:top="366" w:right="742" w:bottom="482" w:left="748" w:header="720" w:footer="720" w:gutter="0"/>
          <w:cols w:space="720" w:num="2" w:equalWidth="0">
            <w:col w:w="5204" w:space="0"/>
            <w:col w:w="5212" w:space="0"/>
            <w:col w:w="10416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8206"/>
        <w:ind w:left="380" w:right="0" w:hanging="210"/>
        <w:jc w:val="left"/>
      </w:pPr>
      <w:r>
        <w:rPr>
          <w:rFonts w:ascii="AdvTT5235d5a9" w:hAnsi="AdvTT5235d5a9" w:eastAsia="AdvTT5235d5a9"/>
          <w:b w:val="0"/>
          <w:i w:val="0"/>
          <w:color w:val="221F1F"/>
          <w:sz w:val="16"/>
        </w:rPr>
        <w:t>2.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“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Carbon sequestration and emissions mitigation in paddy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elds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based on the DNDC model: A review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”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[Arti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cial Intelligence in Agri-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culture, 2020; 4: 140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–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149]</w:t>
      </w:r>
      <w:r>
        <w:rPr>
          <w:rFonts w:ascii="AdvTT5235d5a9" w:hAnsi="AdvTT5235d5a9" w:eastAsia="AdvTT5235d5a9"/>
          <w:b w:val="0"/>
          <w:i w:val="0"/>
          <w:color w:val="2E3092"/>
          <w:sz w:val="16"/>
        </w:rPr>
        <w:t xml:space="preserve"> https://10.1016/j.aiia.2020.07.002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Declaration of competing interest: The authors declare that they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have no known competing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 fi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nancial interests or personal relation-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ships that could have appeared to in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fl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 xml:space="preserve">uence the work reported in </w:t>
      </w:r>
      <w:r>
        <w:rPr>
          <w:rFonts w:ascii="AdvTT5235d5a9" w:hAnsi="AdvTT5235d5a9" w:eastAsia="AdvTT5235d5a9"/>
          <w:b w:val="0"/>
          <w:i w:val="0"/>
          <w:color w:val="221F1F"/>
          <w:sz w:val="16"/>
        </w:rPr>
        <w:t>this paper.</w:t>
      </w:r>
    </w:p>
    <w:p>
      <w:pPr>
        <w:sectPr>
          <w:type w:val="nextColumn"/>
          <w:pgSz w:w="11906" w:h="15874"/>
          <w:pgMar w:top="366" w:right="742" w:bottom="482" w:left="748" w:header="720" w:footer="720" w:gutter="0"/>
          <w:cols w:space="720" w:num="2" w:equalWidth="0">
            <w:col w:w="5204" w:space="0"/>
            <w:col w:w="5212" w:space="0"/>
            <w:col w:w="10416" w:space="0"/>
          </w:cols>
          <w:docGrid w:linePitch="360"/>
        </w:sectPr>
      </w:pPr>
    </w:p>
    <w:p>
      <w:pPr>
        <w:autoSpaceDN w:val="0"/>
        <w:autoSpaceDE w:val="0"/>
        <w:widowControl/>
        <w:spacing w:line="164" w:lineRule="exact" w:before="0" w:after="0"/>
        <w:ind w:left="16" w:right="0" w:firstLine="0"/>
        <w:jc w:val="left"/>
      </w:pP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2589-7217/© 2021 The Author. Publishing services by Elsevier B.V. on behalf of KeAi Communications Co. Ltd. This is an open access article under the CC BY-NC-ND license (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 xml:space="preserve">http:// </w:t>
      </w:r>
      <w:r>
        <w:rPr>
          <w:w w:val="98.09230657724234"/>
          <w:rFonts w:ascii="AdvTT5235d5a9" w:hAnsi="AdvTT5235d5a9" w:eastAsia="AdvTT5235d5a9"/>
          <w:b w:val="0"/>
          <w:i w:val="0"/>
          <w:color w:val="2E3092"/>
          <w:sz w:val="13"/>
        </w:rPr>
        <w:t>creativecommons.org/licenses/by-nc-nd/4.0/</w:t>
      </w:r>
      <w:r>
        <w:rPr>
          <w:w w:val="98.09230657724234"/>
          <w:rFonts w:ascii="AdvTT5235d5a9" w:hAnsi="AdvTT5235d5a9" w:eastAsia="AdvTT5235d5a9"/>
          <w:b w:val="0"/>
          <w:i w:val="0"/>
          <w:color w:val="221F1F"/>
          <w:sz w:val="13"/>
        </w:rPr>
        <w:t>).</w:t>
      </w:r>
    </w:p>
    <w:sectPr w:rsidR="00FC693F" w:rsidRPr="0006063C" w:rsidSect="00034616">
      <w:type w:val="continuous"/>
      <w:pgSz w:w="11906" w:h="15874"/>
      <w:pgMar w:top="366" w:right="742" w:bottom="482" w:left="748" w:header="720" w:footer="720" w:gutter="0"/>
      <w:cols w:space="720" w:num="1" w:equalWidth="0">
        <w:col w:w="10416" w:space="0"/>
        <w:col w:w="5204" w:space="0"/>
        <w:col w:w="5212" w:space="0"/>
        <w:col w:w="1041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sciencedirect.com/science/journal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://www.keaipublishing.com/en/journals/artificial-intelligence-in-agriculture/" TargetMode="External"/><Relationship Id="rId1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