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4714240</wp:posOffset>
            </wp:positionH>
            <wp:positionV relativeFrom="page">
              <wp:posOffset>885190</wp:posOffset>
            </wp:positionV>
            <wp:extent cx="650239" cy="82647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39" cy="8264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876300</wp:posOffset>
            </wp:positionV>
            <wp:extent cx="660400" cy="838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8" w:lineRule="exact" w:before="154" w:after="196"/>
        <w:ind w:left="7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Applied Computing and Informatics (2016)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12</w:t>
      </w:r>
      <w:r>
        <w:rPr>
          <w:rFonts w:ascii="AdvTimes" w:hAnsi="AdvTimes" w:eastAsia="AdvTimes"/>
          <w:b w:val="0"/>
          <w:i w:val="0"/>
          <w:color w:val="000000"/>
          <w:sz w:val="16"/>
        </w:rPr>
        <w:t>,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98.0" w:type="dxa"/>
      </w:tblPr>
      <w:tblGrid>
        <w:gridCol w:w="4235"/>
        <w:gridCol w:w="4235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2480" cy="8356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5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342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2"/>
                    </w:rPr>
                    <w:t>Saudi Computer Society, 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0" w:lineRule="exact" w:before="70" w:after="6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6.0" w:type="dxa"/>
            </w:tblPr>
            <w:tblGrid>
              <w:gridCol w:w="6174"/>
            </w:tblGrid>
            <w:tr>
              <w:trPr>
                <w:trHeight w:hRule="exact" w:val="580"/>
              </w:trPr>
              <w:tc>
                <w:tcPr>
                  <w:tcW w:type="dxa" w:w="392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(http://computer.org.sa)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www.sciencedirect.com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722" w:after="390"/>
        <w:ind w:left="7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2"/>
        </w:rPr>
        <w:t>Foreword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98.0" w:type="dxa"/>
      </w:tblPr>
      <w:tblGrid>
        <w:gridCol w:w="4235"/>
        <w:gridCol w:w="4235"/>
      </w:tblGrid>
      <w:tr>
        <w:trPr>
          <w:trHeight w:hRule="exact" w:val="3266"/>
        </w:trPr>
        <w:tc>
          <w:tcPr>
            <w:tcW w:type="dxa" w:w="242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32559" cy="18059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9" cy="1805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0" w:after="0"/>
              <w:ind w:left="1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Dear Colleagues,</w:t>
            </w:r>
          </w:p>
          <w:p>
            <w:pPr>
              <w:autoSpaceDN w:val="0"/>
              <w:autoSpaceDE w:val="0"/>
              <w:widowControl/>
              <w:spacing w:line="218" w:lineRule="exact" w:before="222" w:after="0"/>
              <w:ind w:left="182" w:right="0" w:firstLine="238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Applied Computing and Informatics (ACI) was established as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Saudi Computer Society’s official journal over 13 years ago.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Throughout its journey, the journal has seen ups and downs.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Nevertheless, it’s still standing as the only official journal of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Saudi Computer Society (SCS). Being so means a great responsi-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bility to strive for quality, integrity, publishing ethics and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universality.</w:t>
            </w:r>
          </w:p>
          <w:p>
            <w:pPr>
              <w:autoSpaceDN w:val="0"/>
              <w:autoSpaceDE w:val="0"/>
              <w:widowControl/>
              <w:spacing w:line="218" w:lineRule="exact" w:before="122" w:after="0"/>
              <w:ind w:left="182" w:right="0" w:firstLine="238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Since I accepted the responsibility as EiC of the ACI journal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two years ago, we have received 292 Manuscripts from 39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Countries. With Elsevier as our publisher, and King Saud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University as our main support, the Journal is picking up more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794" w:right="22" w:firstLine="2608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momentum and gaining reputation. Reviewers remain an integral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part of processing and publishing articles for ACI. We received the support of 632 reviewers from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66 countries to provide us valued comments and suggestions and hence keeping the quality of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manuscripts.</w:t>
      </w:r>
    </w:p>
    <w:p>
      <w:pPr>
        <w:autoSpaceDN w:val="0"/>
        <w:autoSpaceDE w:val="0"/>
        <w:widowControl/>
        <w:spacing w:line="180" w:lineRule="exact" w:before="158" w:after="60"/>
        <w:ind w:left="103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Our future challenges include: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235"/>
        <w:gridCol w:w="4235"/>
      </w:tblGrid>
      <w:tr>
        <w:trPr>
          <w:trHeight w:hRule="exact" w:val="118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536" w:right="122" w:firstLine="0"/>
              <w:jc w:val="both"/>
            </w:pPr>
            <w:r>
              <w:rPr>
                <w:rFonts w:ascii="AdvPSSym" w:hAnsi="AdvPSSym" w:eastAsia="AdvPSSym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Finding sponsoring organizations to support this and other journals to come from the Saudi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Computer Society.</w:t>
            </w:r>
          </w:p>
          <w:p>
            <w:pPr>
              <w:autoSpaceDN w:val="0"/>
              <w:autoSpaceDE w:val="0"/>
              <w:widowControl/>
              <w:spacing w:line="218" w:lineRule="exact" w:before="2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Sustaining quality to achieve further desired outcomes such as international and academic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indexing.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Encouraging international researchers, editors, advisors, and authors to utilize ACI as a plat-</w:t>
            </w:r>
          </w:p>
        </w:tc>
      </w:tr>
    </w:tbl>
    <w:p>
      <w:pPr>
        <w:autoSpaceDN w:val="0"/>
        <w:autoSpaceDE w:val="0"/>
        <w:widowControl/>
        <w:spacing w:line="206" w:lineRule="exact" w:before="0" w:after="0"/>
        <w:ind w:left="136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form to propagate innovation and creativity. Incentives such as a best paper award can help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achieve this.</w:t>
      </w:r>
    </w:p>
    <w:p>
      <w:pPr>
        <w:autoSpaceDN w:val="0"/>
        <w:tabs>
          <w:tab w:pos="1036" w:val="left"/>
        </w:tabs>
        <w:autoSpaceDE w:val="0"/>
        <w:widowControl/>
        <w:spacing w:line="220" w:lineRule="exact" w:before="118" w:after="0"/>
        <w:ind w:left="798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With the newly elected Saudi Computer Society (SCS) council members, I have great hopes that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only direction for our journal is up.</w:t>
      </w:r>
    </w:p>
    <w:p>
      <w:pPr>
        <w:autoSpaceDN w:val="0"/>
        <w:autoSpaceDE w:val="0"/>
        <w:widowControl/>
        <w:spacing w:line="200" w:lineRule="exact" w:before="238" w:after="0"/>
        <w:ind w:left="6480" w:right="20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With best regards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Prof. Hatim A. Aboalsamh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Editor-in-chief</w:t>
      </w:r>
    </w:p>
    <w:p>
      <w:pPr>
        <w:autoSpaceDN w:val="0"/>
        <w:autoSpaceDE w:val="0"/>
        <w:widowControl/>
        <w:spacing w:line="148" w:lineRule="exact" w:before="706" w:after="0"/>
        <w:ind w:left="7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5"/>
        </w:rPr>
        <w:t>http://dx.doi.org/10.1016/S2210-8327(15)00033-2</w:t>
      </w:r>
    </w:p>
    <w:sectPr w:rsidR="00FC693F" w:rsidRPr="0006063C" w:rsidSect="00034616">
      <w:pgSz w:w="9354" w:h="13606"/>
      <w:pgMar w:top="370" w:right="884" w:bottom="412" w:left="0" w:header="720" w:footer="720" w:gutter="0"/>
      <w:cols w:space="720" w:num="1" w:equalWidth="0">
        <w:col w:w="84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