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381 – 386 </w:t>
            </w:r>
          </w:p>
        </w:tc>
        <w:tc>
          <w:tcPr>
            <w:tcW w:type="dxa" w:w="32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070" w:after="0"/>
        <w:ind w:left="14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2012 AASRI Conference on Modelling, Identification and Control </w:t>
      </w:r>
    </w:p>
    <w:p>
      <w:pPr>
        <w:autoSpaceDN w:val="0"/>
        <w:autoSpaceDE w:val="0"/>
        <w:widowControl/>
        <w:spacing w:line="245" w:lineRule="auto" w:before="264" w:after="0"/>
        <w:ind w:left="576" w:right="864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Green building materials evaluation and empirical research </w:t>
      </w: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based on the regional endowment </w:t>
      </w:r>
    </w:p>
    <w:p>
      <w:pPr>
        <w:autoSpaceDN w:val="0"/>
        <w:autoSpaceDE w:val="0"/>
        <w:widowControl/>
        <w:spacing w:line="264" w:lineRule="auto" w:before="212" w:after="0"/>
        <w:ind w:left="20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>Lei Li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* , Ping Wang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, Hua Wang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, Meng Zhang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a</w:t>
      </w:r>
    </w:p>
    <w:p>
      <w:pPr>
        <w:autoSpaceDN w:val="0"/>
        <w:autoSpaceDE w:val="0"/>
        <w:widowControl/>
        <w:spacing w:line="233" w:lineRule="auto" w:before="166" w:after="0"/>
        <w:ind w:left="183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8"/>
        </w:rPr>
        <w:t>a: School of Management and Economics, Tianjin University, Tianjin, China</w:t>
      </w:r>
    </w:p>
    <w:p>
      <w:pPr>
        <w:autoSpaceDN w:val="0"/>
        <w:autoSpaceDE w:val="0"/>
        <w:widowControl/>
        <w:spacing w:line="230" w:lineRule="auto" w:before="944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50" w:lineRule="auto" w:before="244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This article points out the importance of the using of green building materials in China. The selection of green building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materials has deep relationship of the regional endowments differences. It requires a combination consider of regional to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build the index system. This paper introduces the data envelope method to solve the evaluation of green building materials.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The proposed evaluation process also been given. </w:t>
      </w:r>
    </w:p>
    <w:p>
      <w:pPr>
        <w:autoSpaceDN w:val="0"/>
        <w:tabs>
          <w:tab w:pos="3780" w:val="left"/>
        </w:tabs>
        <w:autoSpaceDE w:val="0"/>
        <w:widowControl/>
        <w:spacing w:line="230" w:lineRule="exact" w:before="23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© 2012 Lei Li. Published by Elsevier B.V.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33" w:lineRule="auto" w:before="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Selection and/or peer review under responsibility of American Applied Science Research Institute </w:t>
      </w:r>
    </w:p>
    <w:p>
      <w:pPr>
        <w:autoSpaceDN w:val="0"/>
        <w:autoSpaceDE w:val="0"/>
        <w:widowControl/>
        <w:spacing w:line="230" w:lineRule="auto" w:before="220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Keywords: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regional endowments; green building materials; evaluation; DEA</w:t>
      </w:r>
    </w:p>
    <w:p>
      <w:pPr>
        <w:autoSpaceDN w:val="0"/>
        <w:autoSpaceDE w:val="0"/>
        <w:widowControl/>
        <w:spacing w:line="233" w:lineRule="auto" w:before="456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0" w:lineRule="auto" w:before="262" w:after="0"/>
        <w:ind w:left="190" w:right="50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U</w:t>
      </w:r>
      <w:r>
        <w:drawing>
          <wp:inline xmlns:a="http://schemas.openxmlformats.org/drawingml/2006/main" xmlns:pic="http://schemas.openxmlformats.org/drawingml/2006/picture">
            <wp:extent cx="1282700" cy="12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Area Non-equilibrium Development S</w:t>
      </w:r>
      <w:r>
        <w:drawing>
          <wp:inline xmlns:a="http://schemas.openxmlformats.org/drawingml/2006/main" xmlns:pic="http://schemas.openxmlformats.org/drawingml/2006/picture">
            <wp:extent cx="1930400" cy="12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development has made brilliant achievements after 30 years of reform and opening up. However,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consequent widening gaps between the levels of regional economic drawback the wealth polarization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serious inefficient allocation of resources. They also make many other social problems [1]. Especially in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field of construction, the large number using of high energy consumption and high pollution building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materials caused tremendous damage to the social environment. </w:t>
      </w:r>
    </w:p>
    <w:p>
      <w:pPr>
        <w:autoSpaceDN w:val="0"/>
        <w:autoSpaceDE w:val="0"/>
        <w:widowControl/>
        <w:spacing w:line="245" w:lineRule="auto" w:before="810" w:after="0"/>
        <w:ind w:left="430" w:right="41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* Corresponding author. Tel.: +86-138-2126-0061; fax: +86-022-27401810.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E-mail address: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lilei@tju.edu.cn. </w:t>
      </w:r>
    </w:p>
    <w:p>
      <w:pPr>
        <w:autoSpaceDN w:val="0"/>
        <w:autoSpaceDE w:val="0"/>
        <w:widowControl/>
        <w:spacing w:line="200" w:lineRule="exact" w:before="1318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10.1016/j.aasri.2012.11.060 </w:t>
      </w:r>
    </w:p>
    <w:p>
      <w:pPr>
        <w:sectPr>
          <w:pgSz w:w="10885" w:h="14854"/>
          <w:pgMar w:top="438" w:right="640" w:bottom="2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3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382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Lei Li et al. /  AASRI Procedia  3 ( 2012 )  381 – 386 </w:t>
      </w:r>
    </w:p>
    <w:p>
      <w:pPr>
        <w:autoSpaceDN w:val="0"/>
        <w:autoSpaceDE w:val="0"/>
        <w:widowControl/>
        <w:spacing w:line="247" w:lineRule="auto" w:before="398" w:after="0"/>
        <w:ind w:left="162" w:right="2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With the rapid development of the construction industry, the building materials used in the construction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enterprise are more and more. The quantity to the type and functional direction keeps increasing as well as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requirements of building materials. In the study of the problems in China, most scholars reached a conclusion: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"Consensus of the various regions in China due to be adjusted according to its own characteristics of building </w:t>
      </w:r>
    </w:p>
    <w:p>
      <w:pPr>
        <w:autoSpaceDN w:val="0"/>
        <w:autoSpaceDE w:val="0"/>
        <w:widowControl/>
        <w:spacing w:line="240" w:lineRule="auto" w:before="20" w:after="0"/>
        <w:ind w:left="162" w:right="22" w:hanging="14"/>
        <w:jc w:val="both"/>
      </w:pPr>
      <w:r>
        <w:drawing>
          <wp:inline xmlns:a="http://schemas.openxmlformats.org/drawingml/2006/main" xmlns:pic="http://schemas.openxmlformats.org/drawingml/2006/picture">
            <wp:extent cx="5486400" cy="12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differences in physical geography and economic geography [2]. The differences determine the regional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economic condition and factor endowments in the broad sense. Thus, they determine the various regions in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country and the division status in the world economy. These differences include: the latitude and longitude,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waterfront location, climatic zone, the temperature, rainfall, topography, mineral, property, the environment,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industry characteristics, construction characteristics, population, ethnicity, socio-system and economic fiscal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position. The second aspect is the level of economic development. It means the regional economic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development of the economies of scale with the current dynamic [3]. The first factor of endowments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difference is the determinants of regional economic differences. The second aspect of the differences is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factor endowments differences [4-5]. The main raw material of green building materials belongs to the natural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resources. Thus it is an important part of the regional factor endowments. Study on green building materials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regional natural endowments characteristics is of great significance for further development. It is also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important to improvement of regional architectural development theory. </w:t>
      </w:r>
    </w:p>
    <w:p>
      <w:pPr>
        <w:autoSpaceDN w:val="0"/>
        <w:autoSpaceDE w:val="0"/>
        <w:widowControl/>
        <w:spacing w:line="230" w:lineRule="auto" w:before="260" w:after="0"/>
        <w:ind w:left="1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Green building materials theory </w:t>
      </w:r>
    </w:p>
    <w:p>
      <w:pPr>
        <w:autoSpaceDN w:val="0"/>
        <w:autoSpaceDE w:val="0"/>
        <w:widowControl/>
        <w:spacing w:line="250" w:lineRule="auto" w:before="260" w:after="0"/>
        <w:ind w:left="162" w:right="0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application of building materials theory includes green building materials, bio-materials and eco-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friendly materials theory. It builds strategy in the China region economic development and provides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theoretical basis. However, there are many problems to be solved, such as: one-sided emphasis on inter-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regional differences inevitability and absolute; ignoring the positive role of balanced development; lack of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development of non-equilibrium representative theoretical contradictions; the three forces in promoting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development of housing construction: inherent laws of economic development, market mechanisms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government intervention; the optimal limit [6]. Neoclassical regional opposition balanced economic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development theory based on a series of assumptions: regional economic development and the role of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market mechanism. The theory is satisfied through the accumulation of capital in the region and inter-regional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flow of production factors will eventually tend toward equilibrium. However, the regional differences theory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natural endowments contradicts the reality hindrance of the flow of production factors. The market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mechanism alone is difficult to achieve a balanced development of the regional economy. However,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objective laws of economic development and practical experience shows that China is still in non-equilibrium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 a long period. The use of the non-equilibrium development theory guides the development of the regional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economy. Especially, the use of the process of building materials must be combined with the regional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economic characteristics. Eastern coastal areas should continue to play a leading role. The Central special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preferential policies are also basically unchanged. In short, the using of building materials and regional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resource endowments has a close relationship. There are significant differences in regional resource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endowments. Overall equilibrium development objectives of the national economy or the regional economy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are bound to achieve through local non-equilibrium development. Successful examples of economic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development, such as the United States, Australia and other countries also confirm this conclusion [7].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equilibrium development theory and non-equilibrium development theory are involved the coordinated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development of the concept. The ultimate goal of them is to achieve a balance of overall economic and social.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use of building construction costs and the needs of relevant are also delivered to the building construction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materials. It is necessary to give full consideration to these aspects. These considerations also provide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reference to the evaluation method of green building materials. </w:t>
      </w:r>
    </w:p>
    <w:p>
      <w:pPr>
        <w:sectPr>
          <w:pgSz w:w="10885" w:h="14854"/>
          <w:pgMar w:top="368" w:right="1124" w:bottom="1258" w:left="652" w:header="720" w:footer="720" w:gutter="0"/>
          <w:cols w:space="720" w:num="1" w:equalWidth="0">
            <w:col w:w="911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5613400</wp:posOffset>
            </wp:positionV>
            <wp:extent cx="2400300" cy="12192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19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3479800</wp:posOffset>
            </wp:positionV>
            <wp:extent cx="3162300" cy="12700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70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08" w:val="left"/>
        </w:tabs>
        <w:autoSpaceDE w:val="0"/>
        <w:widowControl/>
        <w:spacing w:line="176" w:lineRule="exact" w:before="0" w:after="0"/>
        <w:ind w:left="29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Lei Li et al. /  AASRI Procedia  3 ( 2012 )  381 – 386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383</w:t>
      </w:r>
    </w:p>
    <w:p>
      <w:pPr>
        <w:autoSpaceDN w:val="0"/>
        <w:autoSpaceDE w:val="0"/>
        <w:widowControl/>
        <w:spacing w:line="230" w:lineRule="auto" w:before="484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3.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The evaluation methodology of green building materials </w:t>
      </w:r>
    </w:p>
    <w:p>
      <w:pPr>
        <w:autoSpaceDN w:val="0"/>
        <w:autoSpaceDE w:val="0"/>
        <w:widowControl/>
        <w:spacing w:line="230" w:lineRule="auto" w:before="260" w:after="0"/>
        <w:ind w:left="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3.1.</w:t>
      </w:r>
      <w:r>
        <w:rPr>
          <w:rFonts w:ascii="TimesNewRoman,Italic" w:hAnsi="TimesNewRoman,Italic" w:eastAsia="TimesNewRoman,Italic"/>
          <w:b w:val="0"/>
          <w:i/>
          <w:color w:val="424242"/>
          <w:sz w:val="20"/>
        </w:rPr>
        <w:t>Index system</w:t>
      </w:r>
    </w:p>
    <w:p>
      <w:pPr>
        <w:autoSpaceDN w:val="0"/>
        <w:autoSpaceDE w:val="0"/>
        <w:widowControl/>
        <w:spacing w:line="250" w:lineRule="auto" w:before="260" w:after="0"/>
        <w:ind w:left="0" w:right="43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process of selection of building materials must correctly handle the relationship between costs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profits. It gives full play to the complementary role of the market mechanism and government intervention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allocation of resources. It also reduces or even eliminates the waste of resources. The selection should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achieve the sustainable development of the regional architecture. New building materials, green building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materials, environmentally friendly materials all are important material to achieve green building goals [8].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effective use of the regional is a necessary condition for the coordinated development of regional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construction. Building materials is the important products of the building enterprises. They have great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significance to the continued development. The ecological economists long-term focus attention of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problems, which include inadequate use of new materials and space are unevenly distributed, the degradation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architectural function, excessive use of non-environmentally friendly materials [9].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20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We chose the four elements as input indicators. They are the raw materials, the cost of the parts, protection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measures and construction technology. </w:t>
      </w:r>
    </w:p>
    <w:p>
      <w:pPr>
        <w:autoSpaceDN w:val="0"/>
        <w:autoSpaceDE w:val="0"/>
        <w:widowControl/>
        <w:spacing w:line="245" w:lineRule="auto" w:before="384" w:after="830"/>
        <w:ind w:left="3744" w:right="4752" w:firstLine="0"/>
        <w:jc w:val="center"/>
      </w:pPr>
      <w:r>
        <w:rPr>
          <w:w w:val="98.31443585847553"/>
          <w:rFonts w:ascii="TimesNewRoman" w:hAnsi="TimesNewRoman" w:eastAsia="TimesNewRoman"/>
          <w:b w:val="0"/>
          <w:i w:val="0"/>
          <w:color w:val="000000"/>
          <w:sz w:val="19"/>
        </w:rPr>
        <w:t xml:space="preserve">Input </w:t>
      </w:r>
      <w:r>
        <w:br/>
      </w:r>
      <w:r>
        <w:rPr>
          <w:w w:val="98.31443585847553"/>
          <w:rFonts w:ascii="TimesNewRoman" w:hAnsi="TimesNewRoman" w:eastAsia="TimesNewRoman"/>
          <w:b w:val="0"/>
          <w:i w:val="0"/>
          <w:color w:val="000000"/>
          <w:sz w:val="19"/>
        </w:rPr>
        <w:t>Indicators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0.0" w:type="dxa"/>
      </w:tblPr>
      <w:tblGrid>
        <w:gridCol w:w="2342"/>
        <w:gridCol w:w="2342"/>
        <w:gridCol w:w="2342"/>
        <w:gridCol w:w="2342"/>
      </w:tblGrid>
      <w:tr>
        <w:trPr>
          <w:trHeight w:hRule="exact" w:val="25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364" w:firstLine="0"/>
              <w:jc w:val="right"/>
            </w:pPr>
            <w:r>
              <w:rPr>
                <w:w w:val="98.31443585847553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Raw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252" w:right="0" w:firstLine="0"/>
              <w:jc w:val="left"/>
            </w:pPr>
            <w:r>
              <w:rPr>
                <w:w w:val="98.31443585847553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The parts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164" w:firstLine="0"/>
              <w:jc w:val="right"/>
            </w:pPr>
            <w:r>
              <w:rPr>
                <w:w w:val="98.31443585847553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Protection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68" w:right="0" w:firstLine="0"/>
              <w:jc w:val="left"/>
            </w:pPr>
            <w:r>
              <w:rPr>
                <w:w w:val="98.31443585847553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Construction </w:t>
            </w:r>
          </w:p>
        </w:tc>
      </w:tr>
      <w:tr>
        <w:trPr>
          <w:trHeight w:hRule="exact" w:val="30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240" w:firstLine="0"/>
              <w:jc w:val="right"/>
            </w:pPr>
            <w:r>
              <w:rPr>
                <w:w w:val="98.31443585847553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materials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454" w:firstLine="0"/>
              <w:jc w:val="right"/>
            </w:pPr>
            <w:r>
              <w:rPr>
                <w:w w:val="98.31443585847553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cost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248" w:firstLine="0"/>
              <w:jc w:val="right"/>
            </w:pPr>
            <w:r>
              <w:rPr>
                <w:w w:val="98.31443585847553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measures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234" w:right="0" w:firstLine="0"/>
              <w:jc w:val="left"/>
            </w:pPr>
            <w:r>
              <w:rPr>
                <w:w w:val="98.31443585847553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technology</w:t>
            </w:r>
          </w:p>
        </w:tc>
      </w:tr>
    </w:tbl>
    <w:p>
      <w:pPr>
        <w:autoSpaceDN w:val="0"/>
        <w:autoSpaceDE w:val="0"/>
        <w:widowControl/>
        <w:spacing w:line="230" w:lineRule="auto" w:before="254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Fig. 1. Green building materials input indicators. </w:t>
      </w:r>
    </w:p>
    <w:p>
      <w:pPr>
        <w:autoSpaceDN w:val="0"/>
        <w:autoSpaceDE w:val="0"/>
        <w:widowControl/>
        <w:spacing w:line="230" w:lineRule="auto" w:before="498" w:after="0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Output indicators include the energy-saving effects, material profits and social benefits. </w:t>
      </w:r>
    </w:p>
    <w:p>
      <w:pPr>
        <w:autoSpaceDN w:val="0"/>
        <w:autoSpaceDE w:val="0"/>
        <w:widowControl/>
        <w:spacing w:line="245" w:lineRule="auto" w:before="378" w:after="788"/>
        <w:ind w:left="3744" w:right="4896" w:firstLine="0"/>
        <w:jc w:val="center"/>
      </w:pPr>
      <w:r>
        <w:rPr>
          <w:w w:val="98.62661361694336"/>
          <w:rFonts w:ascii="TimesNewRoman" w:hAnsi="TimesNewRoman" w:eastAsia="TimesNewRoman"/>
          <w:b w:val="0"/>
          <w:i w:val="0"/>
          <w:color w:val="000000"/>
          <w:sz w:val="18"/>
        </w:rPr>
        <w:t xml:space="preserve">Output </w:t>
      </w:r>
      <w:r>
        <w:br/>
      </w:r>
      <w:r>
        <w:rPr>
          <w:w w:val="98.62661361694336"/>
          <w:rFonts w:ascii="TimesNewRoman" w:hAnsi="TimesNewRoman" w:eastAsia="TimesNewRoman"/>
          <w:b w:val="0"/>
          <w:i w:val="0"/>
          <w:color w:val="000000"/>
          <w:sz w:val="18"/>
        </w:rPr>
        <w:t>Indicators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90.0" w:type="dxa"/>
      </w:tblPr>
      <w:tblGrid>
        <w:gridCol w:w="3122"/>
        <w:gridCol w:w="3122"/>
        <w:gridCol w:w="3122"/>
      </w:tblGrid>
      <w:tr>
        <w:trPr>
          <w:trHeight w:hRule="exact" w:val="24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390" w:firstLine="0"/>
              <w:jc w:val="right"/>
            </w:pPr>
            <w:r>
              <w:rPr>
                <w:w w:val="98.6266136169433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The energy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w w:val="98.6266136169433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Material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422" w:right="0" w:firstLine="0"/>
              <w:jc w:val="left"/>
            </w:pPr>
            <w:r>
              <w:rPr>
                <w:w w:val="98.6266136169433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Social</w:t>
            </w:r>
          </w:p>
        </w:tc>
      </w:tr>
      <w:tr>
        <w:trPr>
          <w:trHeight w:hRule="exact" w:val="282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290" w:firstLine="0"/>
              <w:jc w:val="right"/>
            </w:pPr>
            <w:r>
              <w:rPr>
                <w:w w:val="98.6266136169433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Saving effects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w w:val="98.6266136169433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Profits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348" w:right="0" w:firstLine="0"/>
              <w:jc w:val="left"/>
            </w:pPr>
            <w:r>
              <w:rPr>
                <w:w w:val="98.6266136169433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Benefits</w:t>
            </w:r>
          </w:p>
        </w:tc>
      </w:tr>
    </w:tbl>
    <w:p>
      <w:pPr>
        <w:autoSpaceDN w:val="0"/>
        <w:autoSpaceDE w:val="0"/>
        <w:widowControl/>
        <w:spacing w:line="230" w:lineRule="auto" w:before="678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Fig. 2. Green building materials output indicators. </w:t>
      </w:r>
    </w:p>
    <w:p>
      <w:pPr>
        <w:sectPr>
          <w:pgSz w:w="10885" w:h="14854"/>
          <w:pgMar w:top="368" w:right="648" w:bottom="1440" w:left="870" w:header="720" w:footer="720" w:gutter="0"/>
          <w:cols w:space="720" w:num="1" w:equalWidth="0">
            <w:col w:w="9368" w:space="0"/>
            <w:col w:w="911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4254500</wp:posOffset>
            </wp:positionH>
            <wp:positionV relativeFrom="page">
              <wp:posOffset>5880100</wp:posOffset>
            </wp:positionV>
            <wp:extent cx="342900" cy="1905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2717800</wp:posOffset>
            </wp:positionH>
            <wp:positionV relativeFrom="page">
              <wp:posOffset>5905500</wp:posOffset>
            </wp:positionV>
            <wp:extent cx="965200" cy="1397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1879600</wp:posOffset>
            </wp:positionH>
            <wp:positionV relativeFrom="page">
              <wp:posOffset>5880100</wp:posOffset>
            </wp:positionV>
            <wp:extent cx="635000" cy="2032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5753100</wp:posOffset>
            </wp:positionV>
            <wp:extent cx="406400" cy="4572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5765800</wp:posOffset>
            </wp:positionV>
            <wp:extent cx="190500" cy="4318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3898900</wp:posOffset>
            </wp:positionV>
            <wp:extent cx="1460500" cy="13970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397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564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384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Lei Li et al. /  AASRI Procedia  3 ( 2012 )  381 – 386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398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We chose date envelopment analysis (DEA) method. This method establishes comprehensive evaluation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index system. It is based on consideration of the efficiency of the input and output of the project. 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3.2.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Date envelopment analysis(DEA) method </w:t>
      </w:r>
    </w:p>
    <w:p>
      <w:pPr>
        <w:autoSpaceDN w:val="0"/>
        <w:tabs>
          <w:tab w:pos="426" w:val="left"/>
        </w:tabs>
        <w:autoSpaceDE w:val="0"/>
        <w:widowControl/>
        <w:spacing w:line="250" w:lineRule="auto" w:before="260" w:after="16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DEA method takes an economic system or a production process as an activity. It puts a certain number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factors of production and the output of the "product" as entities (units). Each entity (unit) is known as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decision-making unit (DMU). Many DMUs constitute to be respective evaluation groups. The DMU's input 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output indicators and ratio for the variable should been evaluated operation. It determine the effective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production frontier, and according to the distance of each DMU efficient production frontier situation [10]. It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also determines whether each DMU effective projection method can also be used at the same time and pointed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out the direction. In this method, the extension of non-DEA effective or weak DEA effective DMU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should be improved. [11]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Assume there are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decision making units, each decision making unit has </w:t>
      </w:r>
      <w:r>
        <w:rPr>
          <w:w w:val="98.16011047363281"/>
          <w:rFonts w:ascii="TimesNewRoman,Italic" w:hAnsi="TimesNewRoman,Italic" w:eastAsia="TimesNewRoman,Italic"/>
          <w:b w:val="0"/>
          <w:i/>
          <w:color w:val="000000"/>
          <w:sz w:val="25"/>
        </w:rPr>
        <w:t>m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 kinds of input and </w:t>
      </w:r>
      <w:r>
        <w:rPr>
          <w:w w:val="98.42906792958578"/>
          <w:rFonts w:ascii="TimesNewRoman,Italic" w:hAnsi="TimesNewRoman,Italic" w:eastAsia="TimesNewRoman,Italic"/>
          <w:b w:val="0"/>
          <w:i/>
          <w:color w:val="000000"/>
          <w:sz w:val="24"/>
        </w:rPr>
        <w:t>s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 kinds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rPr>
          <w:trHeight w:hRule="exact" w:val="304"/>
        </w:trPr>
        <w:tc>
          <w:tcPr>
            <w:tcW w:type="dxa" w:w="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outcome. </w:t>
            </w:r>
          </w:p>
        </w:tc>
        <w:tc>
          <w:tcPr>
            <w:tcW w:type="dxa" w:w="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2" w:after="0"/>
              <w:ind w:left="0" w:right="50" w:firstLine="0"/>
              <w:jc w:val="right"/>
            </w:pPr>
            <w:r>
              <w:rPr>
                <w:w w:val="98.89738148656384"/>
                <w:rFonts w:ascii="TimesNewRoman,Italic" w:hAnsi="TimesNewRoman,Italic" w:eastAsia="TimesNewRoman,Italic"/>
                <w:b w:val="0"/>
                <w:i/>
                <w:color w:val="000000"/>
                <w:sz w:val="29"/>
              </w:rPr>
              <w:t>j</w:t>
            </w:r>
          </w:p>
        </w:tc>
        <w:tc>
          <w:tcPr>
            <w:tcW w:type="dxa" w:w="5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2" w:after="0"/>
              <w:ind w:left="0" w:right="50" w:firstLine="0"/>
              <w:jc w:val="right"/>
            </w:pPr>
            <w:r>
              <w:rPr>
                <w:w w:val="98.89738148656384"/>
                <w:rFonts w:ascii="TimesNewRoman" w:hAnsi="TimesNewRoman" w:eastAsia="TimesNewRoman"/>
                <w:b w:val="0"/>
                <w:i w:val="0"/>
                <w:color w:val="000000"/>
                <w:sz w:val="29"/>
              </w:rPr>
              <w:t>,1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7800" cy="25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2" w:after="0"/>
              <w:ind w:left="0" w:right="0" w:firstLine="0"/>
              <w:jc w:val="center"/>
            </w:pPr>
            <w:r>
              <w:rPr>
                <w:w w:val="98.89738148656384"/>
                <w:rFonts w:ascii="TimesNewRoman" w:hAnsi="TimesNewRoman" w:eastAsia="TimesNewRoman"/>
                <w:b w:val="0"/>
                <w:i w:val="0"/>
                <w:color w:val="000000"/>
                <w:sz w:val="29"/>
              </w:rPr>
              <w:t>,</w:t>
            </w:r>
          </w:p>
        </w:tc>
        <w:tc>
          <w:tcPr>
            <w:tcW w:type="dxa" w:w="2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2" w:after="0"/>
              <w:ind w:left="0" w:right="0" w:firstLine="0"/>
              <w:jc w:val="center"/>
            </w:pPr>
            <w:r>
              <w:rPr>
                <w:w w:val="98.89738148656384"/>
                <w:rFonts w:ascii="TimesNewRoman,Italic" w:hAnsi="TimesNewRoman,Italic" w:eastAsia="TimesNewRoman,Italic"/>
                <w:b w:val="0"/>
                <w:i/>
                <w:color w:val="000000"/>
                <w:sz w:val="29"/>
              </w:rPr>
              <w:t>n</w:t>
            </w:r>
          </w:p>
        </w:tc>
        <w:tc>
          <w:tcPr>
            <w:tcW w:type="dxa" w:w="516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is the input and output vector of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 decision making unit. </w:t>
            </w:r>
          </w:p>
        </w:tc>
        <w:tc>
          <w:tcPr>
            <w:tcW w:type="dxa" w:w="17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4" w:after="0"/>
              <w:ind w:left="26" w:right="0" w:firstLine="0"/>
              <w:jc w:val="left"/>
            </w:pPr>
            <w:r>
              <w:rPr>
                <w:w w:val="97.9300430842808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ij</w:t>
            </w:r>
            <w:r>
              <w:rPr>
                <w:w w:val="102.00974008311397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is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 kind </w:t>
            </w:r>
          </w:p>
        </w:tc>
      </w:tr>
      <w:tr>
        <w:trPr>
          <w:trHeight w:hRule="exact" w:val="628"/>
        </w:trPr>
        <w:tc>
          <w:tcPr>
            <w:tcW w:type="dxa" w:w="578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4" w:val="left"/>
                <w:tab w:pos="4556" w:val="left"/>
                <w:tab w:pos="4676" w:val="left"/>
                <w:tab w:pos="4810" w:val="left"/>
                <w:tab w:pos="5210" w:val="left"/>
                <w:tab w:pos="5344" w:val="left"/>
                <w:tab w:pos="5480" w:val="left"/>
              </w:tabs>
              <w:autoSpaceDE w:val="0"/>
              <w:widowControl/>
              <w:spacing w:line="240" w:lineRule="auto" w:before="8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input of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 decision making unit. Define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9"/>
              </w:rPr>
              <w:t xml:space="preserve">v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9"/>
              </w:rPr>
              <w:t xml:space="preserve">(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9"/>
              </w:rPr>
              <w:t xml:space="preserve">v v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9"/>
              </w:rPr>
              <w:t>,</w:t>
            </w:r>
            <w:r>
              <w:drawing>
                <wp:inline xmlns:a="http://schemas.openxmlformats.org/drawingml/2006/main" xmlns:pic="http://schemas.openxmlformats.org/drawingml/2006/picture">
                  <wp:extent cx="177800" cy="381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498" w:val="left"/>
                <w:tab w:pos="1076" w:val="left"/>
                <w:tab w:pos="1198" w:val="left"/>
                <w:tab w:pos="1368" w:val="left"/>
                <w:tab w:pos="1806" w:val="left"/>
                <w:tab w:pos="1946" w:val="left"/>
                <w:tab w:pos="2080" w:val="left"/>
                <w:tab w:pos="2420" w:val="left"/>
                <w:tab w:pos="2540" w:val="left"/>
                <w:tab w:pos="3212" w:val="left"/>
              </w:tabs>
              <w:autoSpaceDE w:val="0"/>
              <w:widowControl/>
              <w:spacing w:line="240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30"/>
              </w:rPr>
              <w:t xml:space="preserve">u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0"/>
              </w:rPr>
              <w:t xml:space="preserve">(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30"/>
              </w:rPr>
              <w:t xml:space="preserve">u u </w:t>
            </w:r>
            <w:r>
              <w:rPr>
                <w:w w:val="102.43604323443245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1 </w:t>
            </w:r>
            <w:r>
              <w:tab/>
            </w:r>
            <w:r>
              <w:rPr>
                <w:w w:val="102.43604323443245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0"/>
              </w:rPr>
              <w:t>,</w:t>
            </w:r>
            <w:r>
              <w:drawing>
                <wp:inline xmlns:a="http://schemas.openxmlformats.org/drawingml/2006/main" xmlns:pic="http://schemas.openxmlformats.org/drawingml/2006/picture">
                  <wp:extent cx="190500" cy="381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0"/>
              </w:rPr>
              <w:t xml:space="preserve">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30"/>
              </w:rPr>
              <w:t>u</w:t>
            </w:r>
            <w:r>
              <w:rPr>
                <w:w w:val="102.43604323443245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s</w:t>
            </w:r>
            <w:r>
              <w:rPr>
                <w:w w:val="102.43604323443245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 xml:space="preserve">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as the weight vector of output. </w:t>
            </w:r>
          </w:p>
        </w:tc>
        <w:tc>
          <w:tcPr>
            <w:tcW w:type="dxa" w:w="1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9"/>
              </w:rPr>
              <w:t>,</w:t>
            </w:r>
          </w:p>
        </w:tc>
        <w:tc>
          <w:tcPr>
            <w:tcW w:type="dxa" w:w="6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9"/>
              </w:rPr>
              <w:t>v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m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T</w:t>
            </w:r>
          </w:p>
        </w:tc>
        <w:tc>
          <w:tcPr>
            <w:tcW w:type="dxa" w:w="26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as the weight vector of input </w:t>
            </w:r>
          </w:p>
        </w:tc>
      </w:tr>
      <w:tr>
        <w:trPr>
          <w:trHeight w:hRule="exact" w:val="400"/>
        </w:trPr>
        <w:tc>
          <w:tcPr>
            <w:tcW w:type="dxa" w:w="11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basic </w:t>
            </w:r>
          </w:p>
        </w:tc>
        <w:tc>
          <w:tcPr>
            <w:tcW w:type="dxa" w:w="5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6" w:after="0"/>
              <w:ind w:left="0" w:right="0" w:firstLine="0"/>
              <w:jc w:val="center"/>
            </w:pPr>
            <w:r>
              <w:rPr>
                <w:w w:val="98.85476684570312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C</w:t>
            </w:r>
            <w:r>
              <w:rPr>
                <w:w w:val="102.85776002066476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  <w:r>
              <w:rPr>
                <w:w w:val="98.85476684570312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R</w:t>
            </w:r>
          </w:p>
        </w:tc>
        <w:tc>
          <w:tcPr>
            <w:tcW w:type="dxa" w:w="756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model is: </w:t>
            </w:r>
          </w:p>
        </w:tc>
      </w:tr>
      <w:tr>
        <w:trPr>
          <w:trHeight w:hRule="exact" w:val="420"/>
        </w:trPr>
        <w:tc>
          <w:tcPr>
            <w:tcW w:type="dxa" w:w="100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2" w:after="0"/>
              <w:ind w:left="0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max</w:t>
            </w:r>
          </w:p>
        </w:tc>
        <w:tc>
          <w:tcPr>
            <w:tcW w:type="dxa" w:w="1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</w:p>
        </w:tc>
        <w:tc>
          <w:tcPr>
            <w:tcW w:type="dxa" w:w="1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y</w:t>
            </w:r>
          </w:p>
        </w:tc>
        <w:tc>
          <w:tcPr>
            <w:tcW w:type="dxa" w:w="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2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7560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62" w:after="0"/>
              <w:ind w:left="14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</w:tr>
      <w:tr>
        <w:trPr>
          <w:trHeight w:hRule="exact" w:val="360"/>
        </w:trPr>
        <w:tc>
          <w:tcPr>
            <w:tcW w:type="dxa" w:w="1686"/>
            <w:gridSpan w:val="3"/>
            <w:vMerge/>
            <w:tcBorders/>
          </w:tcPr>
          <w:p/>
        </w:tc>
        <w:tc>
          <w:tcPr>
            <w:tcW w:type="dxa" w:w="41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5058"/>
            <w:gridSpan w:val="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7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</w:p>
        </w:tc>
        <w:tc>
          <w:tcPr>
            <w:tcW w:type="dxa" w:w="1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y</w:t>
            </w:r>
          </w:p>
        </w:tc>
        <w:tc>
          <w:tcPr>
            <w:tcW w:type="dxa" w:w="15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8" w:after="0"/>
              <w:ind w:left="1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382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6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,1</w:t>
            </w:r>
          </w:p>
        </w:tc>
        <w:tc>
          <w:tcPr>
            <w:tcW w:type="dxa" w:w="13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</w:p>
        </w:tc>
        <w:tc>
          <w:tcPr>
            <w:tcW w:type="dxa" w:w="62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6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,2,1</w:t>
            </w:r>
          </w:p>
        </w:tc>
        <w:tc>
          <w:tcPr>
            <w:tcW w:type="dxa" w:w="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 ,</w:t>
            </w:r>
          </w:p>
        </w:tc>
        <w:tc>
          <w:tcPr>
            <w:tcW w:type="dxa" w:w="65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2" w:after="0"/>
              <w:ind w:left="0" w:right="29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(1) </w:t>
            </w:r>
          </w:p>
        </w:tc>
      </w:tr>
      <w:tr>
        <w:trPr>
          <w:trHeight w:hRule="exact" w:val="144"/>
        </w:trPr>
        <w:tc>
          <w:tcPr>
            <w:tcW w:type="dxa" w:w="73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0" w:right="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v</w:t>
            </w:r>
          </w:p>
        </w:tc>
        <w:tc>
          <w:tcPr>
            <w:tcW w:type="dxa" w:w="14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562"/>
            <w:vMerge/>
            <w:tcBorders/>
          </w:tcPr>
          <w:p/>
        </w:tc>
        <w:tc>
          <w:tcPr>
            <w:tcW w:type="dxa" w:w="1686"/>
            <w:gridSpan w:val="3"/>
            <w:vMerge/>
            <w:tcBorders/>
          </w:tcPr>
          <w:p/>
        </w:tc>
        <w:tc>
          <w:tcPr>
            <w:tcW w:type="dxa" w:w="562"/>
            <w:vMerge/>
            <w:tcBorders/>
          </w:tcPr>
          <w:p/>
        </w:tc>
        <w:tc>
          <w:tcPr>
            <w:tcW w:type="dxa" w:w="1686"/>
            <w:gridSpan w:val="3"/>
            <w:vMerge/>
            <w:tcBorders/>
          </w:tcPr>
          <w:p/>
        </w:tc>
        <w:tc>
          <w:tcPr>
            <w:tcW w:type="dxa" w:w="562"/>
            <w:vMerge/>
            <w:tcBorders/>
          </w:tcPr>
          <w:p/>
        </w:tc>
        <w:tc>
          <w:tcPr>
            <w:tcW w:type="dxa" w:w="2810"/>
            <w:gridSpan w:val="5"/>
            <w:vMerge/>
            <w:tcBorders/>
          </w:tcPr>
          <w:p/>
        </w:tc>
      </w:tr>
      <w:tr>
        <w:trPr>
          <w:trHeight w:hRule="exact" w:val="496"/>
        </w:trPr>
        <w:tc>
          <w:tcPr>
            <w:tcW w:type="dxa" w:w="562"/>
            <w:vMerge/>
            <w:tcBorders/>
          </w:tcPr>
          <w:p/>
        </w:tc>
        <w:tc>
          <w:tcPr>
            <w:tcW w:type="dxa" w:w="562"/>
            <w:vMerge/>
            <w:tcBorders/>
          </w:tcPr>
          <w:p/>
        </w:tc>
        <w:tc>
          <w:tcPr>
            <w:tcW w:type="dxa" w:w="562"/>
            <w:vMerge/>
            <w:tcBorders/>
          </w:tcPr>
          <w:p/>
        </w:tc>
        <w:tc>
          <w:tcPr>
            <w:tcW w:type="dxa" w:w="1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686"/>
            <w:gridSpan w:val="3"/>
            <w:vMerge/>
            <w:tcBorders/>
          </w:tcPr>
          <w:p/>
        </w:tc>
        <w:tc>
          <w:tcPr>
            <w:tcW w:type="dxa" w:w="562"/>
            <w:vMerge/>
            <w:tcBorders/>
          </w:tcPr>
          <w:p/>
        </w:tc>
        <w:tc>
          <w:tcPr>
            <w:tcW w:type="dxa" w:w="1686"/>
            <w:gridSpan w:val="3"/>
            <w:vMerge/>
            <w:tcBorders/>
          </w:tcPr>
          <w:p/>
        </w:tc>
        <w:tc>
          <w:tcPr>
            <w:tcW w:type="dxa" w:w="562"/>
            <w:vMerge/>
            <w:tcBorders/>
          </w:tcPr>
          <w:p/>
        </w:tc>
        <w:tc>
          <w:tcPr>
            <w:tcW w:type="dxa" w:w="2810"/>
            <w:gridSpan w:val="5"/>
            <w:vMerge/>
            <w:tcBorders/>
          </w:tcPr>
          <w:p/>
        </w:tc>
      </w:tr>
      <w:tr>
        <w:trPr>
          <w:trHeight w:hRule="exact" w:val="546"/>
        </w:trPr>
        <w:tc>
          <w:tcPr>
            <w:tcW w:type="dxa" w:w="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18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</w:p>
        </w:tc>
        <w:tc>
          <w:tcPr>
            <w:tcW w:type="dxa" w:w="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,0</w:t>
            </w:r>
          </w:p>
        </w:tc>
        <w:tc>
          <w:tcPr>
            <w:tcW w:type="dxa" w:w="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v</w:t>
            </w:r>
          </w:p>
        </w:tc>
        <w:tc>
          <w:tcPr>
            <w:tcW w:type="dxa" w:w="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,0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</w:p>
        </w:tc>
        <w:tc>
          <w:tcPr>
            <w:tcW w:type="dxa" w:w="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,0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6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v</w:t>
            </w:r>
          </w:p>
        </w:tc>
        <w:tc>
          <w:tcPr>
            <w:tcW w:type="dxa" w:w="6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.0</w:t>
            </w:r>
          </w:p>
        </w:tc>
      </w:tr>
    </w:tbl>
    <w:p>
      <w:pPr>
        <w:autoSpaceDN w:val="0"/>
        <w:tabs>
          <w:tab w:pos="428" w:val="left"/>
        </w:tabs>
        <w:autoSpaceDE w:val="0"/>
        <w:widowControl/>
        <w:spacing w:line="245" w:lineRule="auto" w:before="216" w:after="36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DEA model is produced from unchanged output and reduced input [12]. The green building materials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production possibility set for: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6.0" w:type="dxa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>
        <w:trPr>
          <w:trHeight w:hRule="exact" w:val="320"/>
        </w:trPr>
        <w:tc>
          <w:tcPr>
            <w:tcW w:type="dxa" w:w="5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1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1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0"/>
        </w:trPr>
        <w:tc>
          <w:tcPr>
            <w:tcW w:type="dxa" w:w="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T</w:t>
            </w:r>
          </w:p>
        </w:tc>
        <w:tc>
          <w:tcPr>
            <w:tcW w:type="dxa" w:w="3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2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2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Y</w:t>
            </w:r>
          </w:p>
        </w:tc>
        <w:tc>
          <w:tcPr>
            <w:tcW w:type="dxa" w:w="1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1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4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4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45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4" w:val="left"/>
              </w:tabs>
              <w:autoSpaceDE w:val="0"/>
              <w:widowControl/>
              <w:spacing w:line="257" w:lineRule="auto" w:before="0" w:after="0"/>
              <w:ind w:left="15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</w:t>
            </w:r>
            <w:r>
              <w:br/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13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26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6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Y</w:t>
            </w:r>
          </w:p>
        </w:tc>
        <w:tc>
          <w:tcPr>
            <w:tcW w:type="dxa" w:w="17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36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4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22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</w:p>
        </w:tc>
        <w:tc>
          <w:tcPr>
            <w:tcW w:type="dxa" w:w="49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,2,1</w:t>
            </w:r>
          </w:p>
        </w:tc>
        <w:tc>
          <w:tcPr>
            <w:tcW w:type="dxa" w:w="14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4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n</w:t>
            </w:r>
          </w:p>
        </w:tc>
        <w:tc>
          <w:tcPr>
            <w:tcW w:type="dxa" w:w="17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24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(2) </w:t>
            </w:r>
          </w:p>
        </w:tc>
      </w:tr>
    </w:tbl>
    <w:p>
      <w:pPr>
        <w:autoSpaceDN w:val="0"/>
        <w:autoSpaceDE w:val="0"/>
        <w:widowControl/>
        <w:spacing w:line="230" w:lineRule="auto" w:before="226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3.3.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The process of green building materials evaluation </w:t>
      </w:r>
    </w:p>
    <w:p>
      <w:pPr>
        <w:autoSpaceDN w:val="0"/>
        <w:autoSpaceDE w:val="0"/>
        <w:widowControl/>
        <w:spacing w:line="245" w:lineRule="auto" w:before="248" w:after="0"/>
        <w:ind w:left="190" w:right="470" w:firstLine="23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Comprehensive 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evaluation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of green building materials is applied by the analysis of DEA method.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model used in the evaluation of green building materials called the efficiency of input evaluation model. It 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primarily used to determine the DMU whether to achieve the scale efficient and effective technology at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same time. It will get final results in accordance with the process shown in Figure 3. </w:t>
      </w:r>
    </w:p>
    <w:p>
      <w:pPr>
        <w:sectPr>
          <w:pgSz w:w="10885" w:h="14854"/>
          <w:pgMar w:top="368" w:right="706" w:bottom="784" w:left="624" w:header="720" w:footer="720" w:gutter="0"/>
          <w:cols w:space="720" w:num="1" w:equalWidth="0">
            <w:col w:w="9556" w:space="0"/>
            <w:col w:w="9368" w:space="0"/>
            <w:col w:w="911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774700</wp:posOffset>
            </wp:positionV>
            <wp:extent cx="5727700" cy="16510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1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.0" w:type="dxa"/>
      </w:tblPr>
      <w:tblGrid>
        <w:gridCol w:w="1171"/>
        <w:gridCol w:w="1171"/>
        <w:gridCol w:w="1171"/>
        <w:gridCol w:w="1171"/>
        <w:gridCol w:w="1171"/>
        <w:gridCol w:w="1171"/>
        <w:gridCol w:w="1171"/>
        <w:gridCol w:w="1171"/>
      </w:tblGrid>
      <w:tr>
        <w:trPr>
          <w:trHeight w:hRule="exact" w:val="88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8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DMU 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6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Lei Li et al. /  AASRI Procedia  3 ( 2012 )  381 – 386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16" w:after="0"/>
              <w:ind w:left="0" w:right="3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Ok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8" w:after="0"/>
              <w:ind w:left="0" w:right="2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Green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385</w:t>
            </w:r>
          </w:p>
        </w:tc>
      </w:tr>
      <w:tr>
        <w:trPr>
          <w:trHeight w:hRule="exact" w:val="22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evaluation 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Input &amp; Output 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Model 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2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Calculation 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2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building </w:t>
            </w:r>
          </w:p>
        </w:tc>
        <w:tc>
          <w:tcPr>
            <w:tcW w:type="dxa" w:w="1171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target of 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Index system 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materials </w:t>
            </w:r>
          </w:p>
        </w:tc>
        <w:tc>
          <w:tcPr>
            <w:tcW w:type="dxa" w:w="1171"/>
            <w:vMerge/>
            <w:tcBorders/>
          </w:tcPr>
          <w:p/>
        </w:tc>
      </w:tr>
      <w:tr>
        <w:trPr>
          <w:trHeight w:hRule="exact" w:val="107"/>
        </w:trPr>
        <w:tc>
          <w:tcPr>
            <w:tcW w:type="dxa" w:w="1171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Selection 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green 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Selection 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evaluation </w:t>
            </w:r>
          </w:p>
        </w:tc>
        <w:tc>
          <w:tcPr>
            <w:tcW w:type="dxa" w:w="1171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building </w:t>
            </w:r>
          </w:p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171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2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output </w:t>
            </w:r>
          </w:p>
        </w:tc>
        <w:tc>
          <w:tcPr>
            <w:tcW w:type="dxa" w:w="11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0" w:after="0"/>
        <w:ind w:left="16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materials</w:t>
      </w:r>
    </w:p>
    <w:p>
      <w:pPr>
        <w:autoSpaceDN w:val="0"/>
        <w:autoSpaceDE w:val="0"/>
        <w:widowControl/>
        <w:spacing w:line="230" w:lineRule="auto" w:before="252" w:after="0"/>
        <w:ind w:left="0" w:right="176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No </w:t>
      </w:r>
    </w:p>
    <w:p>
      <w:pPr>
        <w:autoSpaceDN w:val="0"/>
        <w:autoSpaceDE w:val="0"/>
        <w:widowControl/>
        <w:spacing w:line="230" w:lineRule="auto" w:before="422" w:after="0"/>
        <w:ind w:left="0" w:right="140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Adjust the indicators </w:t>
      </w:r>
    </w:p>
    <w:p>
      <w:pPr>
        <w:autoSpaceDN w:val="0"/>
        <w:autoSpaceDE w:val="0"/>
        <w:widowControl/>
        <w:spacing w:line="230" w:lineRule="auto" w:before="878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Fig. 3. The create process charts of green building materials evaluation index system. </w:t>
      </w:r>
    </w:p>
    <w:p>
      <w:pPr>
        <w:autoSpaceDN w:val="0"/>
        <w:autoSpaceDE w:val="0"/>
        <w:widowControl/>
        <w:spacing w:line="230" w:lineRule="auto" w:before="262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4.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Conclusion </w:t>
      </w:r>
    </w:p>
    <w:p>
      <w:pPr>
        <w:autoSpaceDN w:val="0"/>
        <w:autoSpaceDE w:val="0"/>
        <w:widowControl/>
        <w:spacing w:line="247" w:lineRule="auto" w:before="260" w:after="0"/>
        <w:ind w:left="0" w:right="47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Our world resources are increasingly depleted. We are changing from relying solely on resources 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achieving sustainable development. Promotion of green building materials is important to our society. It can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achieve energy-saving, water-saving, materials and environmental protection. We can understand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efficiency of green building materials in the use of green building materials evaluation. This result also has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significant role in the subsequent improvements. </w:t>
      </w:r>
    </w:p>
    <w:p>
      <w:pPr>
        <w:autoSpaceDN w:val="0"/>
        <w:autoSpaceDE w:val="0"/>
        <w:widowControl/>
        <w:spacing w:line="230" w:lineRule="auto" w:before="260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45" w:lineRule="auto" w:before="248" w:after="0"/>
        <w:ind w:left="0" w:right="470" w:firstLine="2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This work was partially supported by the National Natural Science Foundation of China (Grant No.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71203153, 70871085); Research Fund for the Doctoral Program of Higher Education of China (Grant No.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20100032120031). The authors are grateful for this support. </w:t>
      </w:r>
    </w:p>
    <w:p>
      <w:pPr>
        <w:autoSpaceDN w:val="0"/>
        <w:autoSpaceDE w:val="0"/>
        <w:widowControl/>
        <w:spacing w:line="230" w:lineRule="auto" w:before="486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2" w:after="0"/>
        <w:ind w:left="0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[1] Yang Zhushen, Evolution of Regional Theory of  Non-equilibrium Coordinated Development in China.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Business Research [J], 2010 (06): 99-103. </w:t>
      </w:r>
    </w:p>
    <w:p>
      <w:pPr>
        <w:autoSpaceDN w:val="0"/>
        <w:autoSpaceDE w:val="0"/>
        <w:widowControl/>
        <w:spacing w:line="245" w:lineRule="auto" w:before="10" w:after="0"/>
        <w:ind w:left="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[2] Wu Xiulun, On the evolution of China's regional economic development strategy and layout transmutation.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Modern business trade industry [J], 2010 (07): 95. </w:t>
      </w:r>
    </w:p>
    <w:p>
      <w:pPr>
        <w:autoSpaceDN w:val="0"/>
        <w:autoSpaceDE w:val="0"/>
        <w:widowControl/>
        <w:spacing w:line="245" w:lineRule="auto" w:before="10" w:after="0"/>
        <w:ind w:left="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[3] Agrawal, A., SUSTAINABLE GOVERNANCE OF COMMON-POOL RESOURCES: Context, Methods,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Politics. Annual Review of Anthropology[J], 2003. 32(1): 243-262. </w:t>
      </w:r>
    </w:p>
    <w:p>
      <w:pPr>
        <w:autoSpaceDN w:val="0"/>
        <w:autoSpaceDE w:val="0"/>
        <w:widowControl/>
        <w:spacing w:line="245" w:lineRule="auto" w:before="10" w:after="0"/>
        <w:ind w:left="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[4] Cha Hongwang, A Third Theory of Regional Economic Development: Non-equilibrium and Harmonious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Development. Academic monthly [J], 2008 (10): 71-77. </w:t>
      </w:r>
    </w:p>
    <w:p>
      <w:pPr>
        <w:autoSpaceDN w:val="0"/>
        <w:autoSpaceDE w:val="0"/>
        <w:widowControl/>
        <w:spacing w:line="245" w:lineRule="auto" w:before="10" w:after="0"/>
        <w:ind w:left="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[5] Zhang Juhua, Research on Sustainable Regional Economic Development in Non-equilibrium Situation [D],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Tianjin University, 2003: 89-92. </w:t>
      </w:r>
    </w:p>
    <w:p>
      <w:pPr>
        <w:autoSpaceDN w:val="0"/>
        <w:autoSpaceDE w:val="0"/>
        <w:widowControl/>
        <w:spacing w:line="245" w:lineRule="auto" w:before="10" w:after="0"/>
        <w:ind w:left="0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[6] Zhong youlin, Li Jiyou, Evolution of the balanced development theory of the regional economy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innovation. Qiusuo [J], 2009 (01): 40-41, 186. </w:t>
      </w:r>
    </w:p>
    <w:p>
      <w:pPr>
        <w:autoSpaceDN w:val="0"/>
        <w:autoSpaceDE w:val="0"/>
        <w:widowControl/>
        <w:spacing w:line="245" w:lineRule="auto" w:before="10" w:after="0"/>
        <w:ind w:left="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[7] Fisher, J.B., L. Fortmann, Governing the data commons: Policy, practice, and the advancement of science.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Information &amp; Management[J], 2010. 47(4): 237-245. </w:t>
      </w:r>
    </w:p>
    <w:p>
      <w:pPr>
        <w:sectPr>
          <w:pgSz w:w="10885" w:h="14854"/>
          <w:pgMar w:top="368" w:right="648" w:bottom="1376" w:left="870" w:header="720" w:footer="720" w:gutter="0"/>
          <w:cols w:space="720" w:num="1" w:equalWidth="0">
            <w:col w:w="9368" w:space="0"/>
            <w:col w:w="9556" w:space="0"/>
            <w:col w:w="9368" w:space="0"/>
            <w:col w:w="911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64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386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Lei Li et al. /  AASRI Procedia  3 ( 2012 )  381 – 386 </w:t>
      </w:r>
    </w:p>
    <w:p>
      <w:pPr>
        <w:autoSpaceDN w:val="0"/>
        <w:autoSpaceDE w:val="0"/>
        <w:widowControl/>
        <w:spacing w:line="245" w:lineRule="auto" w:before="442" w:after="0"/>
        <w:ind w:left="190" w:right="115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[8] Wang Jun, Practice of green building in China. China building industry publishing house,  2007.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[9] Pu Yide, Green building technology guide. China building industry publishing house,  2008. </w:t>
      </w:r>
    </w:p>
    <w:p>
      <w:pPr>
        <w:autoSpaceDN w:val="0"/>
        <w:autoSpaceDE w:val="0"/>
        <w:widowControl/>
        <w:spacing w:line="245" w:lineRule="auto" w:before="10" w:after="0"/>
        <w:ind w:left="190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[10] A. Charnes, W. W. Cooper, E. Rhodes, Measuring the efficiency of decision making units. European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Journal of Operations Research [J], 1978 (2): 429-444. </w:t>
      </w:r>
    </w:p>
    <w:p>
      <w:pPr>
        <w:autoSpaceDN w:val="0"/>
        <w:autoSpaceDE w:val="0"/>
        <w:widowControl/>
        <w:spacing w:line="245" w:lineRule="auto" w:before="8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[11]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Lei Li, Xingyu Zhu, Yongchao Kou, Zhengxu Ren,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Research on the application of remarkable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achievements based on DEA quantification analysis to manufacturing industry. Industrial Engineering Journal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[J], 2009(2):110-113. </w:t>
      </w:r>
    </w:p>
    <w:p>
      <w:pPr>
        <w:autoSpaceDN w:val="0"/>
        <w:autoSpaceDE w:val="0"/>
        <w:widowControl/>
        <w:spacing w:line="245" w:lineRule="auto" w:before="10" w:after="0"/>
        <w:ind w:left="190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[12] Z. Sinuany-Stern, A. Mehrez, A. Barboy, Academic departments efficiency in DEA, Computers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Operations Research, 1994 (5): 543-556. </w:t>
      </w:r>
    </w:p>
    <w:sectPr w:rsidR="00FC693F" w:rsidRPr="0006063C" w:rsidSect="00034616">
      <w:pgSz w:w="10885" w:h="14854"/>
      <w:pgMar w:top="368" w:right="758" w:bottom="754" w:left="624" w:header="720" w:footer="720" w:gutter="0"/>
      <w:cols w:space="720" w:num="1" w:equalWidth="0">
        <w:col w:w="9504" w:space="0"/>
        <w:col w:w="9368" w:space="0"/>
        <w:col w:w="9556" w:space="0"/>
        <w:col w:w="9368" w:space="0"/>
        <w:col w:w="9110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