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217 – 223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70" w:after="0"/>
        <w:ind w:left="14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Modelling, Identification and Control </w:t>
      </w:r>
    </w:p>
    <w:p>
      <w:pPr>
        <w:autoSpaceDN w:val="0"/>
        <w:autoSpaceDE w:val="0"/>
        <w:widowControl/>
        <w:spacing w:line="230" w:lineRule="auto" w:before="264" w:after="0"/>
        <w:ind w:left="3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Hydrogen Production from Biomass Pyrolysis in Molten Alkali </w:t>
      </w:r>
    </w:p>
    <w:p>
      <w:pPr>
        <w:autoSpaceDN w:val="0"/>
        <w:autoSpaceDE w:val="0"/>
        <w:widowControl/>
        <w:spacing w:line="262" w:lineRule="auto" w:before="216" w:after="0"/>
        <w:ind w:left="2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Hongtao Jiang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*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 xml:space="preserve">, Yeru Wu, Hao Fan, Jianbing Ji </w:t>
      </w:r>
    </w:p>
    <w:p>
      <w:pPr>
        <w:autoSpaceDN w:val="0"/>
        <w:autoSpaceDE w:val="0"/>
        <w:widowControl/>
        <w:spacing w:line="230" w:lineRule="auto" w:before="184" w:after="0"/>
        <w:ind w:left="8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College of Chemical Engineering and Materials Science, Zhejiang University of Technology, Hangzhou 310014, China </w:t>
      </w:r>
    </w:p>
    <w:p>
      <w:pPr>
        <w:autoSpaceDN w:val="0"/>
        <w:autoSpaceDE w:val="0"/>
        <w:widowControl/>
        <w:spacing w:line="230" w:lineRule="auto" w:before="628" w:after="0"/>
        <w:ind w:left="22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45" w:lineRule="auto" w:before="230" w:after="14"/>
        <w:ind w:left="224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Pyrolysis of biomass to hydrogen rich gas in molten alkali media has been conducted in a stainless steel tank reactor.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Molten alkali was used as thermal pyrolysis media. Six kinds of biomass were selected as feedstock. The experiments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3242"/>
        <w:gridCol w:w="3242"/>
        <w:gridCol w:w="3242"/>
      </w:tblGrid>
      <w:tr>
        <w:trPr>
          <w:trHeight w:hRule="exact" w:val="22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were carried out under atmospheric pressure and 350-550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. The pyrolysis gas was analyzed by gas chromatograph. The 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24" w:right="61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effects of the type of biomass, addition of additives and reaction conditions, including temperature and N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 flow rate, on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hydrogen content in pyrolysis gas and yield of hydrogen were investigated. This paper reports the feasibility for producing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hydrogen rich gas through the pyrolysis of biomass in molten salt media. </w:t>
      </w:r>
    </w:p>
    <w:p>
      <w:pPr>
        <w:autoSpaceDN w:val="0"/>
        <w:autoSpaceDE w:val="0"/>
        <w:widowControl/>
        <w:spacing w:line="230" w:lineRule="exact" w:before="206" w:after="0"/>
        <w:ind w:left="220" w:right="864" w:firstLine="4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3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Selection and/or peer review under responsibility of American Applied Science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 Research Institute </w:t>
      </w:r>
    </w:p>
    <w:p>
      <w:pPr>
        <w:autoSpaceDN w:val="0"/>
        <w:autoSpaceDE w:val="0"/>
        <w:widowControl/>
        <w:spacing w:line="230" w:lineRule="auto" w:before="256" w:after="0"/>
        <w:ind w:left="22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biomass; pyrolysis; hydrogen; molten salts </w:t>
      </w:r>
    </w:p>
    <w:p>
      <w:pPr>
        <w:autoSpaceDN w:val="0"/>
        <w:autoSpaceDE w:val="0"/>
        <w:widowControl/>
        <w:spacing w:line="230" w:lineRule="auto" w:before="466" w:after="0"/>
        <w:ind w:left="22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Main text </w:t>
      </w:r>
    </w:p>
    <w:p>
      <w:pPr>
        <w:autoSpaceDN w:val="0"/>
        <w:autoSpaceDE w:val="0"/>
        <w:widowControl/>
        <w:spacing w:line="247" w:lineRule="auto" w:before="260" w:after="0"/>
        <w:ind w:left="224" w:right="57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inter-related problems of energy and environment are one of biggest challenges facing the world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recently, especially for energy sustainability and carbon emissions from the utilization of fossil fuels. Many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engineers and scientists agree that the solution to these problems would be to replace the existing fossil system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the hydrogen energy system [1, 2]. There are several established and developing technologies to produce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hydrogen from various sources. Hydrogen production can be environmentally friendly only if the resource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used to extract hydrogen would be rather biomass than fossil fuel, such as coal, petroleum and natural gas. </w:t>
      </w:r>
    </w:p>
    <w:p>
      <w:pPr>
        <w:autoSpaceDN w:val="0"/>
        <w:autoSpaceDE w:val="0"/>
        <w:widowControl/>
        <w:spacing w:line="257" w:lineRule="auto" w:before="918" w:after="0"/>
        <w:ind w:left="464" w:right="59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*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* Corresponding author. Tel.:+86-571-88320598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jht@zjut.edu.cn.. </w:t>
      </w:r>
    </w:p>
    <w:p>
      <w:pPr>
        <w:autoSpaceDN w:val="0"/>
        <w:autoSpaceDE w:val="0"/>
        <w:widowControl/>
        <w:spacing w:line="200" w:lineRule="exact" w:before="1546" w:after="0"/>
        <w:ind w:left="0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3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10.1016/j.aasri.2012.11.036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218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Hongtao Jiang et al. /  AASRI Procedia  3 ( 2012 )  217 – 223 </w:t>
      </w:r>
    </w:p>
    <w:p>
      <w:pPr>
        <w:autoSpaceDN w:val="0"/>
        <w:autoSpaceDE w:val="0"/>
        <w:widowControl/>
        <w:spacing w:line="247" w:lineRule="auto" w:before="39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There are two main routes for biomass-based hydrogen production, namely thermo-chemical and bio-chemical.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Thermo-chemical routes can produce hydrogen from continuous feed biomass rapidly. Thermo-chemical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routes are gasification [3], pyrolysis of bio-oils [4], steam reforming of biomass derived higher alkanes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alcohols [5], and aqueous phase reforming of oxygenated hydrocarbons [6]. </w:t>
      </w:r>
    </w:p>
    <w:p>
      <w:pPr>
        <w:autoSpaceDN w:val="0"/>
        <w:autoSpaceDE w:val="0"/>
        <w:widowControl/>
        <w:spacing w:line="247" w:lineRule="auto" w:before="20" w:after="0"/>
        <w:ind w:left="19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Molten alkali is ionic crystals under solid state and will melt into ionic liquid at high temperature. Molten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alkali has properties of good electrical conductivity, broad service range of temperature, good thermal stability,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low vapour pressure, large heat capacity, large thermal conductivity, good dissolution ability and low viscosity,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 well as good chemical stability. Physical properties of molten NaOH and KOH are shown in table 1. </w:t>
      </w:r>
    </w:p>
    <w:p>
      <w:pPr>
        <w:autoSpaceDN w:val="0"/>
        <w:autoSpaceDE w:val="0"/>
        <w:widowControl/>
        <w:spacing w:line="230" w:lineRule="auto" w:before="222" w:after="34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Table 1 Physical Properties of molten NaOH and KOH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4.0" w:type="dxa"/>
      </w:tblPr>
      <w:tblGrid>
        <w:gridCol w:w="1922"/>
        <w:gridCol w:w="1922"/>
        <w:gridCol w:w="1922"/>
        <w:gridCol w:w="1922"/>
        <w:gridCol w:w="1922"/>
      </w:tblGrid>
      <w:tr>
        <w:trPr>
          <w:trHeight w:hRule="exact" w:val="244"/>
        </w:trPr>
        <w:tc>
          <w:tcPr>
            <w:tcW w:type="dxa" w:w="1252"/>
            <w:vMerge w:val="restart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Molten alkali </w:t>
            </w:r>
          </w:p>
        </w:tc>
        <w:tc>
          <w:tcPr>
            <w:tcW w:type="dxa" w:w="20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Thermal conductivity </w:t>
            </w:r>
          </w:p>
        </w:tc>
        <w:tc>
          <w:tcPr>
            <w:tcW w:type="dxa" w:w="21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Specific heat capacity </w:t>
            </w:r>
          </w:p>
        </w:tc>
        <w:tc>
          <w:tcPr>
            <w:tcW w:type="dxa" w:w="17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3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Viscosity </w:t>
            </w:r>
          </w:p>
        </w:tc>
        <w:tc>
          <w:tcPr>
            <w:tcW w:type="dxa" w:w="150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2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Boiling point </w:t>
            </w:r>
          </w:p>
        </w:tc>
      </w:tr>
      <w:tr>
        <w:trPr>
          <w:trHeight w:hRule="exact" w:val="326"/>
        </w:trPr>
        <w:tc>
          <w:tcPr>
            <w:tcW w:type="dxa" w:w="1922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204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(cal/cm·sec·deg) </w:t>
            </w:r>
          </w:p>
        </w:tc>
        <w:tc>
          <w:tcPr>
            <w:tcW w:type="dxa" w:w="216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3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(cal/deg·mole) </w:t>
            </w:r>
          </w:p>
        </w:tc>
        <w:tc>
          <w:tcPr>
            <w:tcW w:type="dxa" w:w="170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3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(Cp) </w:t>
            </w:r>
          </w:p>
        </w:tc>
        <w:tc>
          <w:tcPr>
            <w:tcW w:type="dxa" w:w="1506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8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C) </w:t>
            </w:r>
          </w:p>
        </w:tc>
      </w:tr>
      <w:tr>
        <w:trPr>
          <w:trHeight w:hRule="exact" w:val="234"/>
        </w:trPr>
        <w:tc>
          <w:tcPr>
            <w:tcW w:type="dxa" w:w="1252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NaOH </w:t>
            </w:r>
          </w:p>
        </w:tc>
        <w:tc>
          <w:tcPr>
            <w:tcW w:type="dxa" w:w="2040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0.0022(400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 ) </w:t>
            </w:r>
          </w:p>
        </w:tc>
        <w:tc>
          <w:tcPr>
            <w:tcW w:type="dxa" w:w="2160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" w:after="0"/>
              <w:ind w:left="3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19.8(400~900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 ) </w:t>
            </w:r>
          </w:p>
        </w:tc>
        <w:tc>
          <w:tcPr>
            <w:tcW w:type="dxa" w:w="1700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2.817(400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 xml:space="preserve"> 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 ) </w:t>
            </w:r>
          </w:p>
        </w:tc>
        <w:tc>
          <w:tcPr>
            <w:tcW w:type="dxa" w:w="1506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7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1390 </w:t>
            </w:r>
          </w:p>
        </w:tc>
      </w:tr>
      <w:tr>
        <w:trPr>
          <w:trHeight w:hRule="exact" w:val="336"/>
        </w:trPr>
        <w:tc>
          <w:tcPr>
            <w:tcW w:type="dxa" w:w="125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KOH </w:t>
            </w:r>
          </w:p>
        </w:tc>
        <w:tc>
          <w:tcPr>
            <w:tcW w:type="dxa" w:w="20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0.0021(400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 ) </w:t>
            </w:r>
          </w:p>
        </w:tc>
        <w:tc>
          <w:tcPr>
            <w:tcW w:type="dxa" w:w="21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4" w:after="0"/>
              <w:ind w:left="3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19.9(320~990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 ) </w:t>
            </w:r>
          </w:p>
        </w:tc>
        <w:tc>
          <w:tcPr>
            <w:tcW w:type="dxa" w:w="17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1.292(500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 xml:space="preserve"> 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 ) </w:t>
            </w:r>
          </w:p>
        </w:tc>
        <w:tc>
          <w:tcPr>
            <w:tcW w:type="dxa" w:w="150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7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1320 </w:t>
            </w:r>
          </w:p>
        </w:tc>
      </w:tr>
    </w:tbl>
    <w:p>
      <w:pPr>
        <w:autoSpaceDN w:val="0"/>
        <w:autoSpaceDE w:val="0"/>
        <w:widowControl/>
        <w:spacing w:line="247" w:lineRule="auto" w:before="16" w:after="0"/>
        <w:ind w:left="190" w:right="49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In our previous work [7], molten salts (ZnCl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-KCl) were used as media to produce bio-oil from biomass.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work, pyrolysis of biomass in molten alkali media to produce hydrogen rich gas was carried out. Six kinds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biomass were selected as biomass samples. Molten NaOH was employed as media. The effects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biomass samples type, reaction conditions, and additives on yield of gas product and content of hydrogen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gas product were investigated.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Experimental setup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Biomass samples </w:t>
      </w:r>
    </w:p>
    <w:p>
      <w:pPr>
        <w:autoSpaceDN w:val="0"/>
        <w:autoSpaceDE w:val="0"/>
        <w:widowControl/>
        <w:spacing w:line="247" w:lineRule="auto" w:before="260" w:after="10"/>
        <w:ind w:left="190" w:right="50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work, agricultural and forestry wasters, including fir sawdust, birch sawdust, redwood sawdust, rice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stalk, cole stalk and rice husk were used as biomass feed. The birch sawdust was from Northeast China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other biomass samples were from East China. The element (C, H, O, N and S) content in biomass materials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was analyzed by a Vario elemental analyzer. The biomass sample was sieved and the fraction saved for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3204"/>
        <w:gridCol w:w="3204"/>
        <w:gridCol w:w="3204"/>
      </w:tblGrid>
      <w:tr>
        <w:trPr>
          <w:trHeight w:hRule="exact" w:val="29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pyrolysis experiments was 60-100 mesh. The biomass sample was dried at 105 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prior to the experiments. </w:t>
            </w:r>
          </w:p>
        </w:tc>
      </w:tr>
    </w:tbl>
    <w:p>
      <w:pPr>
        <w:autoSpaceDN w:val="0"/>
        <w:autoSpaceDE w:val="0"/>
        <w:widowControl/>
        <w:spacing w:line="233" w:lineRule="auto" w:before="19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Reagents </w:t>
      </w:r>
    </w:p>
    <w:p>
      <w:pPr>
        <w:autoSpaceDN w:val="0"/>
        <w:autoSpaceDE w:val="0"/>
        <w:widowControl/>
        <w:spacing w:line="245" w:lineRule="auto" w:before="260" w:after="0"/>
        <w:ind w:left="190" w:right="50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Sodium hydroxide, potassium hydroxide, nickel chloride, nickel hydroxide, palladium chloride, sodium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chloride, nickel, alumina, and other reagents are from SINOPHARM Chemical Reagent Co. Ltd with purity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more than 99.0%.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2.3.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Test facilities </w:t>
      </w:r>
    </w:p>
    <w:p>
      <w:pPr>
        <w:autoSpaceDN w:val="0"/>
        <w:autoSpaceDE w:val="0"/>
        <w:widowControl/>
        <w:spacing w:line="245" w:lineRule="auto" w:before="248" w:after="0"/>
        <w:ind w:left="190" w:right="526" w:firstLine="19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biomass pyrolisys was performed in an atmospheric pressure in molten alkali. The schematic lab-scale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configuration is illustrated in Fig. 1. The pyrolysis reactor consisted of a reactor, a biomass screw feeder, a set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heater and a set of cooler. The stainless steel reactor had an inner diameter of 95 mm and a height of 150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mm, equipped with feed inlet, gas outlet, and thermocouple tube. The heating furnace with a programmed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temperature controller was self-designed. The temperature was monitored and controlled by K-type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thermocouples inside the thermocouple tube. A variable-speed DC motor was employed to adjust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rotational speed of the screw feeder. The gas flow was divided so that one third went through the bottom of </w:t>
      </w:r>
    </w:p>
    <w:p>
      <w:pPr>
        <w:sectPr>
          <w:pgSz w:w="10885" w:h="14854"/>
          <w:pgMar w:top="368" w:right="650" w:bottom="1164" w:left="624" w:header="720" w:footer="720" w:gutter="0"/>
          <w:cols w:space="720" w:num="1" w:equalWidth="0">
            <w:col w:w="961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1270000</wp:posOffset>
            </wp:positionH>
            <wp:positionV relativeFrom="page">
              <wp:posOffset>1651000</wp:posOffset>
            </wp:positionV>
            <wp:extent cx="3962400" cy="2552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52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18" w:val="left"/>
        </w:tabs>
        <w:autoSpaceDE w:val="0"/>
        <w:widowControl/>
        <w:spacing w:line="176" w:lineRule="exact" w:before="0" w:after="0"/>
        <w:ind w:left="272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Hongtao Jiang et al. /  AASRI Procedia  3 ( 2012 )  217 – 223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219</w:t>
      </w:r>
    </w:p>
    <w:p>
      <w:pPr>
        <w:autoSpaceDN w:val="0"/>
        <w:autoSpaceDE w:val="0"/>
        <w:widowControl/>
        <w:spacing w:line="245" w:lineRule="auto" w:before="388" w:after="16"/>
        <w:ind w:left="1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reactor and the remaining two thirds through the feeder. At the end of feed tube, a cooling jacket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equipped to prevent coking as the biomass sample meets the molten alkali soon. The liquid products (bio-oil +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6"/>
        <w:gridCol w:w="3126"/>
        <w:gridCol w:w="3126"/>
      </w:tblGrid>
      <w:tr>
        <w:trPr>
          <w:trHeight w:hRule="exact" w:val="244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water) were collected by condensing in cold traps maintained at about 0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The cooler system was made of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quartz, in favor of observing condensation condition. The noncondensable gases were collected by gas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collector after metered by flow meter. </w:t>
      </w:r>
    </w:p>
    <w:p>
      <w:pPr>
        <w:autoSpaceDN w:val="0"/>
        <w:autoSpaceDE w:val="0"/>
        <w:widowControl/>
        <w:spacing w:line="235" w:lineRule="auto" w:before="482" w:after="232"/>
        <w:ind w:left="0" w:right="39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>
        <w:trPr>
          <w:trHeight w:hRule="exact" w:val="84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8" w:after="0"/>
              <w:ind w:left="0" w:right="3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13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2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12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2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</w:t>
            </w:r>
          </w:p>
        </w:tc>
      </w:tr>
      <w:tr>
        <w:trPr>
          <w:trHeight w:hRule="exact" w:val="960"/>
        </w:trPr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</w:t>
            </w:r>
          </w:p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</w:tr>
    </w:tbl>
    <w:p>
      <w:pPr>
        <w:autoSpaceDN w:val="0"/>
        <w:tabs>
          <w:tab w:pos="3924" w:val="left"/>
        </w:tabs>
        <w:autoSpaceDE w:val="0"/>
        <w:widowControl/>
        <w:spacing w:line="247" w:lineRule="auto" w:before="120" w:after="0"/>
        <w:ind w:left="2508" w:right="51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Sample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10</w:t>
      </w:r>
    </w:p>
    <w:p>
      <w:pPr>
        <w:autoSpaceDN w:val="0"/>
        <w:autoSpaceDE w:val="0"/>
        <w:widowControl/>
        <w:spacing w:line="235" w:lineRule="auto" w:before="458" w:after="0"/>
        <w:ind w:left="0" w:right="37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7</w:t>
      </w:r>
    </w:p>
    <w:p>
      <w:pPr>
        <w:autoSpaceDN w:val="0"/>
        <w:autoSpaceDE w:val="0"/>
        <w:widowControl/>
        <w:spacing w:line="252" w:lineRule="auto" w:before="480" w:after="0"/>
        <w:ind w:left="10" w:right="5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1  Schematic diagram of experimental apparatus. (1-He cylinder, 2-pressure reducing valve, 3-flowmeter, 4-self-designed feeder, 5-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oven, 6-reactor, 7-discharge valve, 8-cyclone separator, 9-glass condenser, 10-oil container,  11-water absorber, 12-gas container, 13-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flowmeter.) </w:t>
      </w:r>
    </w:p>
    <w:p>
      <w:pPr>
        <w:autoSpaceDN w:val="0"/>
        <w:autoSpaceDE w:val="0"/>
        <w:widowControl/>
        <w:spacing w:line="230" w:lineRule="auto" w:before="260" w:after="0"/>
        <w:ind w:left="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2.4.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Procedure </w:t>
      </w:r>
    </w:p>
    <w:p>
      <w:pPr>
        <w:autoSpaceDN w:val="0"/>
        <w:autoSpaceDE w:val="0"/>
        <w:widowControl/>
        <w:spacing w:line="230" w:lineRule="auto" w:before="260" w:after="0"/>
        <w:ind w:left="2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Preliminary, about 700 g molten alkali was put into reactor. When the heating was started, nitrogen gas </w:t>
      </w:r>
    </w:p>
    <w:p>
      <w:pPr>
        <w:autoSpaceDN w:val="0"/>
        <w:autoSpaceDE w:val="0"/>
        <w:widowControl/>
        <w:spacing w:line="240" w:lineRule="auto" w:before="20" w:after="0"/>
        <w:ind w:left="10" w:right="432" w:hanging="10"/>
        <w:jc w:val="left"/>
      </w:pPr>
      <w:r>
        <w:drawing>
          <wp:inline xmlns:a="http://schemas.openxmlformats.org/drawingml/2006/main" xmlns:pic="http://schemas.openxmlformats.org/drawingml/2006/picture">
            <wp:extent cx="5651500" cy="12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temperature reached the reaction temperature, the circulating cooling water system began to work and the pre-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treated biomass sample was injected into the reactor through feeding system. The biomass underwent a flash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pyrolysis and was converted into hydrogen rich gas, liquid product (bio-oil and water), and bio-coke (only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taking up a small amount of total products). </w:t>
      </w:r>
    </w:p>
    <w:p>
      <w:pPr>
        <w:autoSpaceDN w:val="0"/>
        <w:autoSpaceDE w:val="0"/>
        <w:widowControl/>
        <w:spacing w:line="245" w:lineRule="auto" w:before="8" w:after="2"/>
        <w:ind w:left="10" w:right="470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tests were performed under atmospheric pressure at five different temperatures: 350 °C, 400 °C,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450 °C, 500 °C and 550 °C. The 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flow rate was kept from 60 to 200 L/h. The gas product was collected into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gas collector and examined by a SHIMADZU GC 17-A gas chromatograph equipped with a TDX-01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packed column.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content in gas product was calculated through area correction normalization method.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yield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was calculated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63"/>
        <w:gridCol w:w="1563"/>
        <w:gridCol w:w="1563"/>
        <w:gridCol w:w="1563"/>
        <w:gridCol w:w="1563"/>
        <w:gridCol w:w="1563"/>
      </w:tblGrid>
      <w:tr>
        <w:trPr>
          <w:trHeight w:hRule="exact" w:val="564"/>
        </w:trPr>
        <w:tc>
          <w:tcPr>
            <w:tcW w:type="dxa" w:w="31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54" w:after="0"/>
              <w:ind w:left="0" w:right="0" w:firstLine="0"/>
              <w:jc w:val="righ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Y </w:t>
            </w:r>
            <w:r>
              <w:rPr>
                <w:w w:val="96.18172645568848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H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4" w:after="0"/>
              <w:ind w:left="0" w:right="0" w:firstLine="0"/>
              <w:jc w:val="center"/>
            </w:pPr>
            <w:r>
              <w:rPr>
                <w:w w:val="103.26361656188965"/>
                <w:rFonts w:ascii="TimesNewRoman,Bold" w:hAnsi="TimesNewRoman,Bold" w:eastAsia="TimesNewRoman,Bold"/>
                <w:b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8" w:val="left"/>
                <w:tab w:pos="1160" w:val="left"/>
                <w:tab w:pos="1396" w:val="left"/>
                <w:tab w:pos="1754" w:val="left"/>
              </w:tabs>
              <w:autoSpaceDE w:val="0"/>
              <w:widowControl/>
              <w:spacing w:line="240" w:lineRule="auto" w:before="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09700" cy="165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F </w:t>
            </w:r>
            <w:r>
              <w:tab/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H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% </w:t>
            </w:r>
            <w:r>
              <w:tab/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>M</w:t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m </w:t>
            </w:r>
            <w:r>
              <w:rPr>
                <w:w w:val="96.18172645568848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 xml:space="preserve">biomass </w:t>
            </w:r>
            <w:r>
              <w:rPr>
                <w:w w:val="96.18172645568848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sample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100%</w:t>
            </w:r>
          </w:p>
        </w:tc>
      </w:tr>
      <w:tr>
        <w:trPr>
          <w:trHeight w:hRule="exact" w:val="2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H2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yield; F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gas-product</w:t>
            </w:r>
          </w:p>
        </w:tc>
        <w:tc>
          <w:tcPr>
            <w:tcW w:type="dxa" w:w="3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volume flow rate of gas product; 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%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content in hydrogen rich gas; 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H2</w:t>
            </w:r>
          </w:p>
        </w:tc>
      </w:tr>
      <w:tr>
        <w:trPr>
          <w:trHeight w:hRule="exact" w:val="244"/>
        </w:trPr>
        <w:tc>
          <w:tcPr>
            <w:tcW w:type="dxa" w:w="31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molecular weight of 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; 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biomass-sample</w:t>
            </w:r>
          </w:p>
        </w:tc>
        <w:tc>
          <w:tcPr>
            <w:tcW w:type="dxa" w:w="58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mass feed rate of biomass sample.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374" w:left="860" w:header="720" w:footer="720" w:gutter="0"/>
          <w:cols w:space="720" w:num="1" w:equalWidth="0">
            <w:col w:w="9378" w:space="0"/>
            <w:col w:w="961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5283200</wp:posOffset>
            </wp:positionV>
            <wp:extent cx="2413000" cy="1905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0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7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220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Hongtao Jiang et al. /  AASRI Procedia  3 ( 2012 )  217 – 223 </w:t>
      </w:r>
    </w:p>
    <w:p>
      <w:pPr>
        <w:autoSpaceDN w:val="0"/>
        <w:tabs>
          <w:tab w:pos="388" w:val="left"/>
        </w:tabs>
        <w:autoSpaceDE w:val="0"/>
        <w:widowControl/>
        <w:spacing w:line="324" w:lineRule="auto" w:before="398" w:after="0"/>
        <w:ind w:left="190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Results and Discussion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Element contents of Biomass samples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Test results for element contents test are presented in Table 2. C, H and O were found as the three most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abundant elements in the biomass samples, regardless of biomass type. The carbon and hydrogen contents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selected biomass samples are in the range of 35.3</w:t>
      </w: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47.0%, w/w and 7.0</w:t>
      </w: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8.51%, w/w. Birch sawdust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proved to be the highest hydrogen content among selected biomass samples. </w:t>
      </w:r>
    </w:p>
    <w:p>
      <w:pPr>
        <w:autoSpaceDN w:val="0"/>
        <w:autoSpaceDE w:val="0"/>
        <w:widowControl/>
        <w:spacing w:line="230" w:lineRule="auto" w:before="222" w:after="24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Table 2 Element contents in the biomass material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7.9999999999998" w:type="dxa"/>
      </w:tblPr>
      <w:tblGrid>
        <w:gridCol w:w="1588"/>
        <w:gridCol w:w="1588"/>
        <w:gridCol w:w="1588"/>
        <w:gridCol w:w="1588"/>
        <w:gridCol w:w="1588"/>
        <w:gridCol w:w="1588"/>
      </w:tblGrid>
      <w:tr>
        <w:trPr>
          <w:trHeight w:hRule="exact" w:val="292"/>
        </w:trPr>
        <w:tc>
          <w:tcPr>
            <w:tcW w:type="dxa" w:w="1428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Biomass </w:t>
            </w:r>
          </w:p>
        </w:tc>
        <w:tc>
          <w:tcPr>
            <w:tcW w:type="dxa" w:w="78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 </w:t>
            </w:r>
          </w:p>
        </w:tc>
        <w:tc>
          <w:tcPr>
            <w:tcW w:type="dxa" w:w="94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 </w:t>
            </w:r>
          </w:p>
        </w:tc>
        <w:tc>
          <w:tcPr>
            <w:tcW w:type="dxa" w:w="86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 </w:t>
            </w:r>
          </w:p>
        </w:tc>
        <w:tc>
          <w:tcPr>
            <w:tcW w:type="dxa" w:w="90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4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H </w:t>
            </w:r>
          </w:p>
        </w:tc>
        <w:tc>
          <w:tcPr>
            <w:tcW w:type="dxa" w:w="1062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6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 </w:t>
            </w:r>
          </w:p>
        </w:tc>
      </w:tr>
      <w:tr>
        <w:trPr>
          <w:trHeight w:hRule="exact" w:val="246"/>
        </w:trPr>
        <w:tc>
          <w:tcPr>
            <w:tcW w:type="dxa" w:w="142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Fir sawdust </w:t>
            </w:r>
          </w:p>
        </w:tc>
        <w:tc>
          <w:tcPr>
            <w:tcW w:type="dxa" w:w="7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0.444 </w:t>
            </w:r>
          </w:p>
        </w:tc>
        <w:tc>
          <w:tcPr>
            <w:tcW w:type="dxa" w:w="9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47.007 </w:t>
            </w:r>
          </w:p>
        </w:tc>
        <w:tc>
          <w:tcPr>
            <w:tcW w:type="dxa" w:w="8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0.524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8.500 </w:t>
            </w:r>
          </w:p>
        </w:tc>
        <w:tc>
          <w:tcPr>
            <w:tcW w:type="dxa" w:w="106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43.525 </w:t>
            </w:r>
          </w:p>
        </w:tc>
      </w:tr>
      <w:tr>
        <w:trPr>
          <w:trHeight w:hRule="exact" w:val="280"/>
        </w:trPr>
        <w:tc>
          <w:tcPr>
            <w:tcW w:type="dxa" w:w="14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Birch sawdus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0.190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45.690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0.528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8.513 </w:t>
            </w:r>
          </w:p>
        </w:tc>
        <w:tc>
          <w:tcPr>
            <w:tcW w:type="dxa" w:w="10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45.079 </w:t>
            </w:r>
          </w:p>
        </w:tc>
      </w:tr>
      <w:tr>
        <w:trPr>
          <w:trHeight w:hRule="exact" w:val="280"/>
        </w:trPr>
        <w:tc>
          <w:tcPr>
            <w:tcW w:type="dxa" w:w="14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Redwood sawdust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0.241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47.440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0.571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7.789 </w:t>
            </w:r>
          </w:p>
        </w:tc>
        <w:tc>
          <w:tcPr>
            <w:tcW w:type="dxa" w:w="10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43.962 </w:t>
            </w:r>
          </w:p>
        </w:tc>
      </w:tr>
      <w:tr>
        <w:trPr>
          <w:trHeight w:hRule="exact" w:val="280"/>
        </w:trPr>
        <w:tc>
          <w:tcPr>
            <w:tcW w:type="dxa" w:w="14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Rice stalk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1.174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40.790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0.486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7.664 </w:t>
            </w:r>
          </w:p>
        </w:tc>
        <w:tc>
          <w:tcPr>
            <w:tcW w:type="dxa" w:w="10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49.886 </w:t>
            </w:r>
          </w:p>
        </w:tc>
      </w:tr>
      <w:tr>
        <w:trPr>
          <w:trHeight w:hRule="exact" w:val="280"/>
        </w:trPr>
        <w:tc>
          <w:tcPr>
            <w:tcW w:type="dxa" w:w="14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Rice hus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0.476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39.843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0.367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7.079 </w:t>
            </w:r>
          </w:p>
        </w:tc>
        <w:tc>
          <w:tcPr>
            <w:tcW w:type="dxa" w:w="10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52.235 </w:t>
            </w:r>
          </w:p>
        </w:tc>
      </w:tr>
      <w:tr>
        <w:trPr>
          <w:trHeight w:hRule="exact" w:val="322"/>
        </w:trPr>
        <w:tc>
          <w:tcPr>
            <w:tcW w:type="dxa" w:w="142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Cole stalk </w:t>
            </w:r>
          </w:p>
        </w:tc>
        <w:tc>
          <w:tcPr>
            <w:tcW w:type="dxa" w:w="7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1.267 </w:t>
            </w:r>
          </w:p>
        </w:tc>
        <w:tc>
          <w:tcPr>
            <w:tcW w:type="dxa" w:w="9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35.273 </w:t>
            </w:r>
          </w:p>
        </w:tc>
        <w:tc>
          <w:tcPr>
            <w:tcW w:type="dxa" w:w="8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0.535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7.364 </w:t>
            </w:r>
          </w:p>
        </w:tc>
        <w:tc>
          <w:tcPr>
            <w:tcW w:type="dxa" w:w="106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55.561 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81" w:lineRule="auto" w:before="256" w:after="18"/>
        <w:ind w:left="190" w:right="432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Effects of biomass sample type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After detection by GC, it is proved that gas product of biomass pyrolysis in molten NaOH consists of only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two compounds, hydrogen and methane. Fig. 2 shows the effect of biomass samples type on yield and content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in gas product obtained through biomass pyrolysis in molten NaOH under condition of 450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°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C, 1 atm,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100 L/h 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flow rate. The biomass type has little influence on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content in pyrolysis gas.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yields were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significantly influenced by biomass samples type. Among selected biomass samples, redwood sawdust gave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highest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 of 65.39 g/Kg biomass, whereas the lowest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 of about 40.0 g/Kg biomass for cole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stalk and rice husk.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76.0" w:type="dxa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rHeight w:hRule="exact" w:val="318"/>
        </w:trPr>
        <w:tc>
          <w:tcPr>
            <w:tcW w:type="dxa" w:w="142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2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H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9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 Yield (g/Kg biomass) &amp; content in gas (%)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100</w:t>
            </w:r>
          </w:p>
        </w:tc>
        <w:tc>
          <w:tcPr>
            <w:tcW w:type="dxa" w:w="25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94" w:after="0"/>
              <w:ind w:left="302" w:right="0" w:firstLine="0"/>
              <w:jc w:val="left"/>
            </w:pPr>
            <w:r>
              <w:rPr>
                <w:w w:val="103.06622823079428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H</w:t>
            </w:r>
            <w:r>
              <w:rPr>
                <w:w w:val="104.12909189860027"/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103.06622823079428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content in pyrolysis gas (%)</w:t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20" w:after="0"/>
              <w:ind w:left="0" w:right="248" w:firstLine="0"/>
              <w:jc w:val="right"/>
            </w:pPr>
            <w:r>
              <w:rPr>
                <w:w w:val="101.89073653448195"/>
                <w:rFonts w:ascii="Arial" w:hAnsi="Arial" w:eastAsia="Arial"/>
                <w:b w:val="0"/>
                <w:i w:val="0"/>
                <w:color w:val="000000"/>
                <w:sz w:val="21"/>
              </w:rPr>
              <w:t>e</w:t>
            </w:r>
          </w:p>
        </w:tc>
        <w:tc>
          <w:tcPr>
            <w:tcW w:type="dxa" w:w="1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34" w:after="0"/>
              <w:ind w:left="272" w:right="0" w:firstLine="0"/>
              <w:jc w:val="left"/>
            </w:pPr>
            <w:r>
              <w:rPr>
                <w:w w:val="101.89073653448195"/>
                <w:rFonts w:ascii="Arial" w:hAnsi="Arial" w:eastAsia="Arial"/>
                <w:b w:val="0"/>
                <w:i w:val="0"/>
                <w:color w:val="000000"/>
                <w:sz w:val="21"/>
              </w:rPr>
              <w:t>f</w:t>
            </w:r>
          </w:p>
        </w:tc>
      </w:tr>
      <w:tr>
        <w:trPr>
          <w:trHeight w:hRule="exact" w:val="680"/>
        </w:trPr>
        <w:tc>
          <w:tcPr>
            <w:tcW w:type="dxa" w:w="1191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80</w:t>
            </w:r>
          </w:p>
        </w:tc>
        <w:tc>
          <w:tcPr>
            <w:tcW w:type="dxa" w:w="25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6" w:after="0"/>
              <w:ind w:left="302" w:right="0" w:firstLine="0"/>
              <w:jc w:val="left"/>
            </w:pPr>
            <w:r>
              <w:rPr>
                <w:w w:val="103.06622823079428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H</w:t>
            </w:r>
            <w:r>
              <w:rPr>
                <w:w w:val="104.12909189860027"/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103.06622823079428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yield (g/Kg biomass)</w:t>
            </w:r>
          </w:p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1191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60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30" w:after="0"/>
              <w:ind w:left="0" w:right="0" w:firstLine="0"/>
              <w:jc w:val="center"/>
            </w:pPr>
            <w:r>
              <w:rPr>
                <w:w w:val="101.89073653448195"/>
                <w:rFonts w:ascii="Arial" w:hAnsi="Arial" w:eastAsia="Arial"/>
                <w:b w:val="0"/>
                <w:i w:val="0"/>
                <w:color w:val="000000"/>
                <w:sz w:val="21"/>
              </w:rPr>
              <w:t>a</w:t>
            </w:r>
          </w:p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4" w:after="0"/>
              <w:ind w:left="0" w:right="0" w:firstLine="0"/>
              <w:jc w:val="center"/>
            </w:pPr>
            <w:r>
              <w:rPr>
                <w:w w:val="101.89073653448195"/>
                <w:rFonts w:ascii="Arial" w:hAnsi="Arial" w:eastAsia="Arial"/>
                <w:b w:val="0"/>
                <w:i w:val="0"/>
                <w:color w:val="000000"/>
                <w:sz w:val="21"/>
              </w:rPr>
              <w:t>b</w:t>
            </w:r>
          </w:p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0" w:after="0"/>
              <w:ind w:left="0" w:right="0" w:firstLine="0"/>
              <w:jc w:val="center"/>
            </w:pPr>
            <w:r>
              <w:rPr>
                <w:w w:val="101.89073653448195"/>
                <w:rFonts w:ascii="Arial" w:hAnsi="Arial" w:eastAsia="Arial"/>
                <w:b w:val="0"/>
                <w:i w:val="0"/>
                <w:color w:val="000000"/>
                <w:sz w:val="21"/>
              </w:rPr>
              <w:t>c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36" w:after="0"/>
              <w:ind w:left="0" w:right="0" w:firstLine="0"/>
              <w:jc w:val="center"/>
            </w:pPr>
            <w:r>
              <w:rPr>
                <w:w w:val="101.89073653448195"/>
                <w:rFonts w:ascii="Arial" w:hAnsi="Arial" w:eastAsia="Arial"/>
                <w:b w:val="0"/>
                <w:i w:val="0"/>
                <w:color w:val="000000"/>
                <w:sz w:val="21"/>
              </w:rPr>
              <w:t>d</w:t>
            </w:r>
          </w:p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1191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40</w:t>
            </w:r>
          </w:p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1191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20</w:t>
            </w:r>
          </w:p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91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  <w:tc>
          <w:tcPr>
            <w:tcW w:type="dxa" w:w="11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4" w:lineRule="auto" w:before="14" w:after="0"/>
        <w:ind w:left="190" w:right="432" w:firstLine="3912"/>
        <w:jc w:val="left"/>
      </w:pPr>
      <w:r>
        <w:rPr>
          <w:w w:val="98.91607193719774"/>
          <w:rFonts w:ascii="Arial,Bold" w:hAnsi="Arial,Bold" w:eastAsia="Arial,Bold"/>
          <w:b/>
          <w:i w:val="0"/>
          <w:color w:val="000000"/>
          <w:sz w:val="21"/>
        </w:rPr>
        <w:t xml:space="preserve">Biomass type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2 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content in gas and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yield vs. biomass samples type. (a-rice stalk, b-cole stalk, c-rice husk, d-redwood sawdust, e-fir sawdust,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f-birch sawdust; 450 °C, 1atm, 100 L/h N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molten NaOH.) </w:t>
      </w:r>
    </w:p>
    <w:p>
      <w:pPr>
        <w:sectPr>
          <w:pgSz w:w="10885" w:h="14854"/>
          <w:pgMar w:top="368" w:right="730" w:bottom="1178" w:left="624" w:header="720" w:footer="720" w:gutter="0"/>
          <w:cols w:space="720" w:num="1" w:equalWidth="0">
            <w:col w:w="9532" w:space="0"/>
            <w:col w:w="9378" w:space="0"/>
            <w:col w:w="961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2387600</wp:posOffset>
            </wp:positionV>
            <wp:extent cx="2019300" cy="1701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0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5930900</wp:posOffset>
            </wp:positionV>
            <wp:extent cx="1828800" cy="1524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9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Hongtao Jiang et al. /  AASRI Procedia  3 ( 2012 )  217 – 223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221</w:t>
      </w:r>
    </w:p>
    <w:p>
      <w:pPr>
        <w:autoSpaceDN w:val="0"/>
        <w:autoSpaceDE w:val="0"/>
        <w:widowControl/>
        <w:spacing w:line="230" w:lineRule="auto" w:before="40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3.3.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Effects of temperature </w:t>
      </w:r>
    </w:p>
    <w:p>
      <w:pPr>
        <w:autoSpaceDN w:val="0"/>
        <w:autoSpaceDE w:val="0"/>
        <w:widowControl/>
        <w:spacing w:line="245" w:lineRule="auto" w:before="248" w:after="36"/>
        <w:ind w:left="190" w:right="576" w:firstLine="20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pyrolysis temperature is crucial for hydrogen production from biomass pyrolysis in molten NaOH.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effects of pyrolysis temperature on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 and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content in pyrolysis gas from rice stalk pyrolysis in molten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alkali were examined under atmospheric pressure, 100 L/h 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flow rate. The experimental results were shown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 Fig. 3. It can be seen that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content in pyrolysis gas are slightly influenced by temperature. Higher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temperatures significantly resulted in higher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yields. With temperature increasing from 350 to 550 °C,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yield yields increased from 30.7 to 66.5 g/Kg-biomass. As has been reported in the literature [8], this result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related to the fact that the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yields are linked by the equilibrium of both the pyrolysis reaction and the water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gas shift reaction under test conditions.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294"/>
        </w:trPr>
        <w:tc>
          <w:tcPr>
            <w:tcW w:type="dxa" w:w="160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1398" w:after="0"/>
              <w:ind w:left="310" w:right="0" w:firstLine="0"/>
              <w:jc w:val="left"/>
            </w:pPr>
            <w:r>
              <w:rPr>
                <w:w w:val="102.1051260141226"/>
                <w:rFonts w:ascii="Arial,Bold" w:hAnsi="Arial,Bold" w:eastAsia="Arial,Bold"/>
                <w:b/>
                <w:i w:val="0"/>
                <w:color w:val="000000"/>
                <w:sz w:val="13"/>
              </w:rPr>
              <w:t>H</w:t>
            </w:r>
            <w:r>
              <w:rPr>
                <w:w w:val="98.82975220680237"/>
                <w:rFonts w:ascii="Arial,Bold" w:hAnsi="Arial,Bold" w:eastAsia="Arial,Bold"/>
                <w:b/>
                <w:i w:val="0"/>
                <w:color w:val="000000"/>
                <w:sz w:val="8"/>
              </w:rPr>
              <w:t>2</w:t>
            </w:r>
            <w:r>
              <w:rPr>
                <w:w w:val="102.1051260141226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Yield (g/Kg biomass) &amp; content in gas (%)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90</w:t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2" w:after="0"/>
              <w:ind w:left="0" w:right="0" w:firstLine="0"/>
              <w:jc w:val="center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350</w:t>
            </w:r>
          </w:p>
        </w:tc>
        <w:tc>
          <w:tcPr>
            <w:tcW w:type="dxa" w:w="408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2356" w:after="0"/>
              <w:ind w:left="692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content in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-rich gas</w:t>
            </w:r>
          </w:p>
        </w:tc>
      </w:tr>
      <w:tr>
        <w:trPr>
          <w:trHeight w:hRule="exact" w:val="380"/>
        </w:trPr>
        <w:tc>
          <w:tcPr>
            <w:tcW w:type="dxa" w:w="1209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80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6045"/>
            <w:gridSpan w:val="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09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70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6045"/>
            <w:gridSpan w:val="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09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60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6045"/>
            <w:gridSpan w:val="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09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50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6045"/>
            <w:gridSpan w:val="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09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40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6045"/>
            <w:gridSpan w:val="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09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30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6045"/>
            <w:gridSpan w:val="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209"/>
            <w:vMerge/>
            <w:tcBorders/>
          </w:tcPr>
          <w:p/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5" w:lineRule="auto" w:before="118" w:after="0"/>
              <w:ind w:left="26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20 </w:t>
            </w:r>
            <w:r>
              <w:br/>
            </w: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300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40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" w:after="0"/>
              <w:ind w:left="692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yield (g/Kg biomass) </w:t>
            </w:r>
          </w:p>
        </w:tc>
      </w:tr>
      <w:tr>
        <w:trPr>
          <w:trHeight w:hRule="exact" w:val="220"/>
        </w:trPr>
        <w:tc>
          <w:tcPr>
            <w:tcW w:type="dxa" w:w="1209"/>
            <w:vMerge/>
            <w:tcBorders/>
          </w:tcPr>
          <w:p/>
        </w:tc>
        <w:tc>
          <w:tcPr>
            <w:tcW w:type="dxa" w:w="1209"/>
            <w:vMerge/>
            <w:tcBorders/>
          </w:tcPr>
          <w:p/>
        </w:tc>
        <w:tc>
          <w:tcPr>
            <w:tcW w:type="dxa" w:w="1209"/>
            <w:vMerge/>
            <w:tcBorders/>
          </w:tcPr>
          <w:p/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400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450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500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550</w:t>
            </w:r>
          </w:p>
        </w:tc>
        <w:tc>
          <w:tcPr>
            <w:tcW w:type="dxa" w:w="1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44" w:right="0" w:firstLine="0"/>
              <w:jc w:val="left"/>
            </w:pPr>
            <w:r>
              <w:rPr>
                <w:w w:val="98.43042373657227"/>
                <w:rFonts w:ascii="Arial" w:hAnsi="Arial" w:eastAsia="Arial"/>
                <w:b w:val="0"/>
                <w:i w:val="0"/>
                <w:color w:val="000000"/>
                <w:sz w:val="15"/>
              </w:rPr>
              <w:t>600</w:t>
            </w:r>
          </w:p>
        </w:tc>
      </w:tr>
      <w:tr>
        <w:trPr>
          <w:trHeight w:hRule="exact" w:val="308"/>
        </w:trPr>
        <w:tc>
          <w:tcPr>
            <w:tcW w:type="dxa" w:w="1209"/>
            <w:vMerge/>
            <w:tcBorders/>
          </w:tcPr>
          <w:p/>
        </w:tc>
        <w:tc>
          <w:tcPr>
            <w:tcW w:type="dxa" w:w="1209"/>
            <w:vMerge/>
            <w:tcBorders/>
          </w:tcPr>
          <w:p/>
        </w:tc>
        <w:tc>
          <w:tcPr>
            <w:tcW w:type="dxa" w:w="1209"/>
            <w:vMerge/>
            <w:tcBorders/>
          </w:tcPr>
          <w:p/>
        </w:tc>
        <w:tc>
          <w:tcPr>
            <w:tcW w:type="dxa" w:w="40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8" w:after="0"/>
              <w:ind w:left="222" w:right="0" w:firstLine="0"/>
              <w:jc w:val="left"/>
            </w:pPr>
            <w:r>
              <w:rPr>
                <w:w w:val="102.26689066205705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Temperature ( </w:t>
            </w:r>
            <w:r>
              <w:rPr>
                <w:w w:val="96.13086912367079"/>
                <w:rFonts w:ascii="Arial,Bold" w:hAnsi="Arial,Bold" w:eastAsia="Arial,Bold"/>
                <w:b/>
                <w:i w:val="0"/>
                <w:color w:val="000000"/>
                <w:sz w:val="9"/>
              </w:rPr>
              <w:t>o</w:t>
            </w:r>
            <w:r>
              <w:rPr>
                <w:w w:val="102.26689066205705"/>
                <w:rFonts w:ascii="Arial,Bold" w:hAnsi="Arial,Bold" w:eastAsia="Arial,Bold"/>
                <w:b/>
                <w:i w:val="0"/>
                <w:color w:val="000000"/>
                <w:sz w:val="14"/>
              </w:rPr>
              <w:t>C)</w:t>
            </w:r>
          </w:p>
        </w:tc>
      </w:tr>
    </w:tbl>
    <w:p>
      <w:pPr>
        <w:autoSpaceDN w:val="0"/>
        <w:autoSpaceDE w:val="0"/>
        <w:widowControl/>
        <w:spacing w:line="247" w:lineRule="auto" w:before="15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Fig.3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content in gas and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 vs. pyrolysis temperature. (1 atm, 100 L/h 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rice stalk, molten NaOH.) </w:t>
      </w:r>
    </w:p>
    <w:p>
      <w:pPr>
        <w:autoSpaceDN w:val="0"/>
        <w:autoSpaceDE w:val="0"/>
        <w:widowControl/>
        <w:spacing w:line="250" w:lineRule="auto" w:before="234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3.4.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Effects of N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2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flow rate </w:t>
      </w:r>
    </w:p>
    <w:p>
      <w:pPr>
        <w:autoSpaceDN w:val="0"/>
        <w:autoSpaceDE w:val="0"/>
        <w:widowControl/>
        <w:spacing w:line="233" w:lineRule="auto" w:before="242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Inert gas served to provide oxygen free environment, to accelerate mixing of molten salts and biomass 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particles, and to bring pyrolysis gas out of reactor to prevent secondary cracking reactions of the primary 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pyrolysis gases. As shown in Fig. 4, the effects of inert gas under atmospheric pressure and 425 °C were </w:t>
      </w:r>
    </w:p>
    <w:p>
      <w:pPr>
        <w:autoSpaceDN w:val="0"/>
        <w:autoSpaceDE w:val="0"/>
        <w:widowControl/>
        <w:spacing w:line="230" w:lineRule="auto" w:before="20" w:after="8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investigated. The flow rate of inert gas was varied from 60 L/h to 200L/h. The results show that inert gas flow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673"/>
      </w:tblGrid>
      <w:tr>
        <w:trPr>
          <w:trHeight w:hRule="exact" w:val="3208"/>
        </w:trPr>
        <w:tc>
          <w:tcPr>
            <w:tcW w:type="dxa" w:w="7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15" w:lineRule="auto" w:before="10" w:after="0"/>
              <w:ind w:left="0" w:right="187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rate has little influences on 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yields and 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contents in pyrolysis gas. </w:t>
            </w:r>
            <w:r>
              <w:rPr>
                <w:w w:val="98.92388857327975"/>
                <w:rFonts w:ascii="Arial,Bold" w:hAnsi="Arial,Bold" w:eastAsia="Arial,Bold"/>
                <w:b/>
                <w:i w:val="0"/>
                <w:color w:val="000000"/>
                <w:sz w:val="13"/>
              </w:rPr>
              <w:t>H</w:t>
            </w:r>
            <w:r>
              <w:rPr>
                <w:w w:val="97.13928699493408"/>
                <w:rFonts w:ascii="Arial,Bold" w:hAnsi="Arial,Bold" w:eastAsia="Arial,Bold"/>
                <w:b/>
                <w:i w:val="0"/>
                <w:color w:val="000000"/>
                <w:sz w:val="8"/>
              </w:rPr>
              <w:t>2</w:t>
            </w:r>
            <w:r>
              <w:rPr>
                <w:w w:val="98.92388857327975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Yield (g/Kg biomass) &amp; content in gas (%)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4510" w:firstLine="0"/>
              <w:jc w:val="righ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90</w:t>
            </w:r>
          </w:p>
          <w:p>
            <w:pPr>
              <w:autoSpaceDN w:val="0"/>
              <w:autoSpaceDE w:val="0"/>
              <w:widowControl/>
              <w:spacing w:line="233" w:lineRule="auto" w:before="248" w:after="0"/>
              <w:ind w:left="0" w:right="4510" w:firstLine="0"/>
              <w:jc w:val="righ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80</w:t>
            </w:r>
          </w:p>
          <w:p>
            <w:pPr>
              <w:autoSpaceDN w:val="0"/>
              <w:autoSpaceDE w:val="0"/>
              <w:widowControl/>
              <w:spacing w:line="233" w:lineRule="auto" w:before="246" w:after="0"/>
              <w:ind w:left="0" w:right="4510" w:firstLine="0"/>
              <w:jc w:val="righ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70</w:t>
            </w:r>
          </w:p>
          <w:p>
            <w:pPr>
              <w:autoSpaceDN w:val="0"/>
              <w:autoSpaceDE w:val="0"/>
              <w:widowControl/>
              <w:spacing w:line="233" w:lineRule="auto" w:before="248" w:after="0"/>
              <w:ind w:left="0" w:right="4510" w:firstLine="0"/>
              <w:jc w:val="righ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60</w:t>
            </w:r>
          </w:p>
          <w:p>
            <w:pPr>
              <w:autoSpaceDN w:val="0"/>
              <w:autoSpaceDE w:val="0"/>
              <w:widowControl/>
              <w:spacing w:line="233" w:lineRule="auto" w:before="248" w:after="0"/>
              <w:ind w:left="0" w:right="4510" w:firstLine="0"/>
              <w:jc w:val="righ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50</w:t>
            </w:r>
          </w:p>
          <w:p>
            <w:pPr>
              <w:autoSpaceDN w:val="0"/>
              <w:autoSpaceDE w:val="0"/>
              <w:widowControl/>
              <w:spacing w:line="233" w:lineRule="auto" w:before="246" w:after="0"/>
              <w:ind w:left="0" w:right="4510" w:firstLine="0"/>
              <w:jc w:val="righ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40</w:t>
            </w:r>
          </w:p>
          <w:p>
            <w:pPr>
              <w:autoSpaceDN w:val="0"/>
              <w:autoSpaceDE w:val="0"/>
              <w:widowControl/>
              <w:spacing w:line="300" w:lineRule="auto" w:before="0" w:after="0"/>
              <w:ind w:left="0" w:right="2584" w:firstLine="0"/>
              <w:jc w:val="righ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content in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-rich gas</w:t>
            </w:r>
          </w:p>
          <w:p>
            <w:pPr>
              <w:autoSpaceDN w:val="0"/>
              <w:tabs>
                <w:tab w:pos="3672" w:val="left"/>
              </w:tabs>
              <w:autoSpaceDE w:val="0"/>
              <w:widowControl/>
              <w:spacing w:line="396" w:lineRule="auto" w:before="18" w:after="0"/>
              <w:ind w:left="3082" w:right="0" w:firstLine="0"/>
              <w:jc w:val="lef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30</w:t>
            </w:r>
            <w:r>
              <w:tab/>
            </w: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yield (g/Kg biomass) </w:t>
            </w:r>
          </w:p>
          <w:p>
            <w:pPr>
              <w:autoSpaceDN w:val="0"/>
              <w:tabs>
                <w:tab w:pos="4004" w:val="left"/>
                <w:tab w:pos="4838" w:val="left"/>
                <w:tab w:pos="5674" w:val="left"/>
              </w:tabs>
              <w:autoSpaceDE w:val="0"/>
              <w:widowControl/>
              <w:spacing w:line="233" w:lineRule="auto" w:before="0" w:after="0"/>
              <w:ind w:left="3206" w:right="0" w:firstLine="0"/>
              <w:jc w:val="left"/>
            </w:pP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50 </w:t>
            </w:r>
            <w:r>
              <w:tab/>
            </w: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100 </w:t>
            </w:r>
            <w:r>
              <w:tab/>
            </w: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150 </w:t>
            </w:r>
            <w:r>
              <w:tab/>
            </w:r>
            <w:r>
              <w:rPr>
                <w:w w:val="102.0138667179988"/>
                <w:rFonts w:ascii="Arial" w:hAnsi="Arial" w:eastAsia="Arial"/>
                <w:b w:val="0"/>
                <w:i w:val="0"/>
                <w:color w:val="000000"/>
                <w:sz w:val="13"/>
              </w:rPr>
              <w:t>200</w:t>
            </w:r>
          </w:p>
          <w:p>
            <w:pPr>
              <w:autoSpaceDN w:val="0"/>
              <w:autoSpaceDE w:val="0"/>
              <w:widowControl/>
              <w:spacing w:line="230" w:lineRule="auto" w:before="122" w:after="0"/>
              <w:ind w:left="0" w:right="2184" w:firstLine="0"/>
              <w:jc w:val="right"/>
            </w:pPr>
            <w:r>
              <w:rPr>
                <w:w w:val="98.92388857327975"/>
                <w:rFonts w:ascii="Arial,Bold" w:hAnsi="Arial,Bold" w:eastAsia="Arial,Bold"/>
                <w:b/>
                <w:i w:val="0"/>
                <w:color w:val="000000"/>
                <w:sz w:val="13"/>
              </w:rPr>
              <w:t>Flow rate of carrier gas (L/h)</w:t>
            </w:r>
          </w:p>
        </w:tc>
      </w:tr>
    </w:tbl>
    <w:p>
      <w:pPr>
        <w:autoSpaceDN w:val="0"/>
        <w:autoSpaceDE w:val="0"/>
        <w:widowControl/>
        <w:spacing w:line="247" w:lineRule="auto" w:before="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Fig.4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content in gas and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 vs. 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flow rate. (425 °C, 1atm, rice stalk, molten NaOH.) </w:t>
      </w:r>
    </w:p>
    <w:p>
      <w:pPr>
        <w:sectPr>
          <w:pgSz w:w="10885" w:h="14854"/>
          <w:pgMar w:top="368" w:right="532" w:bottom="1146" w:left="680" w:header="720" w:footer="720" w:gutter="0"/>
          <w:cols w:space="720" w:num="1" w:equalWidth="0">
            <w:col w:w="9674" w:space="0"/>
            <w:col w:w="9532" w:space="0"/>
            <w:col w:w="9378" w:space="0"/>
            <w:col w:w="961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2451100</wp:posOffset>
            </wp:positionH>
            <wp:positionV relativeFrom="page">
              <wp:posOffset>1168400</wp:posOffset>
            </wp:positionV>
            <wp:extent cx="2070100" cy="1701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701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4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222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Hongtao Jiang et al. /  AASRI Procedia  3 ( 2012 )  217 – 223 </w:t>
      </w:r>
    </w:p>
    <w:p>
      <w:pPr>
        <w:autoSpaceDN w:val="0"/>
        <w:autoSpaceDE w:val="0"/>
        <w:widowControl/>
        <w:spacing w:line="230" w:lineRule="auto" w:before="398" w:after="188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3.5.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Effects of additives addition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>
        <w:trPr>
          <w:trHeight w:hRule="exact" w:val="32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38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H</w:t>
            </w:r>
            <w:r>
              <w:rPr>
                <w:w w:val="97.79737591743469"/>
                <w:rFonts w:ascii="Arial,Bold" w:hAnsi="Arial,Bold" w:eastAsia="Arial,Bold"/>
                <w:b/>
                <w:i w:val="0"/>
                <w:color w:val="000000"/>
                <w:sz w:val="8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Yield (g/Kg biomass) &amp; content in gas (%)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" w:right="0" w:firstLine="0"/>
              <w:jc w:val="left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a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26" w:after="0"/>
              <w:ind w:left="0" w:right="0" w:firstLine="0"/>
              <w:jc w:val="center"/>
            </w:pPr>
            <w:r>
              <w:rPr>
                <w:w w:val="96.95675373077393"/>
                <w:rFonts w:ascii="Arial" w:hAnsi="Arial" w:eastAsia="Arial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3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128" w:after="0"/>
              <w:ind w:left="216" w:right="0" w:firstLine="0"/>
              <w:jc w:val="left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H</w:t>
            </w:r>
            <w:r>
              <w:rPr>
                <w:w w:val="101.16986036300659"/>
                <w:rFonts w:ascii="Arial" w:hAnsi="Arial" w:eastAsia="Arial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content in pyrolysis gas (%)</w:t>
            </w:r>
          </w:p>
        </w:tc>
      </w:tr>
      <w:tr>
        <w:trPr>
          <w:trHeight w:hRule="exact" w:val="600"/>
        </w:trPr>
        <w:tc>
          <w:tcPr>
            <w:tcW w:type="dxa" w:w="113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0" w:firstLine="0"/>
              <w:jc w:val="center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>80</w:t>
            </w:r>
          </w:p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3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18" w:after="0"/>
              <w:ind w:left="216" w:right="0" w:firstLine="0"/>
              <w:jc w:val="left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H</w:t>
            </w:r>
            <w:r>
              <w:rPr>
                <w:w w:val="101.16986036300659"/>
                <w:rFonts w:ascii="Arial" w:hAnsi="Arial" w:eastAsia="Arial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yield (g/Kg biomass)</w:t>
            </w:r>
          </w:p>
        </w:tc>
      </w:tr>
      <w:tr>
        <w:trPr>
          <w:trHeight w:hRule="exact" w:val="532"/>
        </w:trPr>
        <w:tc>
          <w:tcPr>
            <w:tcW w:type="dxa" w:w="113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0" w:after="0"/>
              <w:ind w:left="0" w:right="0" w:firstLine="0"/>
              <w:jc w:val="center"/>
            </w:pPr>
            <w:r>
              <w:rPr>
                <w:w w:val="96.95675373077393"/>
                <w:rFonts w:ascii="Arial" w:hAnsi="Arial" w:eastAsia="Arial"/>
                <w:b w:val="0"/>
                <w:i w:val="0"/>
                <w:color w:val="000000"/>
                <w:sz w:val="16"/>
              </w:rPr>
              <w:t>c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6" w:after="0"/>
              <w:ind w:left="0" w:right="0" w:firstLine="0"/>
              <w:jc w:val="center"/>
            </w:pPr>
            <w:r>
              <w:rPr>
                <w:w w:val="96.95675373077393"/>
                <w:rFonts w:ascii="Arial" w:hAnsi="Arial" w:eastAsia="Arial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4" w:after="0"/>
              <w:ind w:left="0" w:right="0" w:firstLine="0"/>
              <w:jc w:val="center"/>
            </w:pPr>
            <w:r>
              <w:rPr>
                <w:w w:val="96.95675373077393"/>
                <w:rFonts w:ascii="Arial" w:hAnsi="Arial" w:eastAsia="Arial"/>
                <w:b w:val="0"/>
                <w:i w:val="0"/>
                <w:color w:val="000000"/>
                <w:sz w:val="16"/>
              </w:rPr>
              <w:t>e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12" w:after="0"/>
              <w:ind w:left="230" w:right="0" w:firstLine="0"/>
              <w:jc w:val="left"/>
            </w:pPr>
            <w:r>
              <w:rPr>
                <w:w w:val="96.95675373077393"/>
                <w:rFonts w:ascii="Arial" w:hAnsi="Arial" w:eastAsia="Arial"/>
                <w:b w:val="0"/>
                <w:i w:val="0"/>
                <w:color w:val="000000"/>
                <w:sz w:val="16"/>
              </w:rPr>
              <w:t>f</w:t>
            </w:r>
          </w:p>
        </w:tc>
      </w:tr>
      <w:tr>
        <w:trPr>
          <w:trHeight w:hRule="exact" w:val="530"/>
        </w:trPr>
        <w:tc>
          <w:tcPr>
            <w:tcW w:type="dxa" w:w="113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0" w:firstLine="0"/>
              <w:jc w:val="center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</w:tr>
      <w:tr>
        <w:trPr>
          <w:trHeight w:hRule="exact" w:val="526"/>
        </w:trPr>
        <w:tc>
          <w:tcPr>
            <w:tcW w:type="dxa" w:w="113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113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0" w:right="0" w:firstLine="0"/>
              <w:jc w:val="center"/>
            </w:pPr>
            <w:r>
              <w:rPr>
                <w:w w:val="102.70602152897762"/>
                <w:rFonts w:ascii="Arial" w:hAnsi="Arial" w:eastAsia="Aria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  <w:tc>
          <w:tcPr>
            <w:tcW w:type="dxa" w:w="11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8" w:after="0"/>
        <w:ind w:left="0" w:right="3882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15"/>
        </w:rPr>
        <w:t>Molten salts</w:t>
      </w:r>
    </w:p>
    <w:p>
      <w:pPr>
        <w:autoSpaceDN w:val="0"/>
        <w:autoSpaceDE w:val="0"/>
        <w:widowControl/>
        <w:spacing w:line="247" w:lineRule="auto" w:before="23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Fig.5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content in gas and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 vs. additives type. (450 °C, 1atm, 100 L/h 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rice stalk) </w:t>
      </w:r>
    </w:p>
    <w:p>
      <w:pPr>
        <w:autoSpaceDN w:val="0"/>
        <w:autoSpaceDE w:val="0"/>
        <w:widowControl/>
        <w:spacing w:line="250" w:lineRule="auto" w:before="244" w:after="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effects of adding additives into molten NaOH are shown in Fig. 5(a-NaOH, b-NaOH-5%NiCl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c-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NaOH-1%Ni, d-NaOH-Ni/Al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e-NaOH-5% NaCl, f-NaOH-1% PdCl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). These results indicated that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addition of the additives increased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 for pyrolysis of biomass. Among the additives, NiCl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increased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yield significantly. Compared to 46.33 g/Kg yield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from pyrolysis rice stalk in molten NaOH, the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yield increased to 67.34 g/Kg in molten NaOH-NiCl. However, the promotion became weak with adding Ni,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NiOH and Ni/Al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33" w:lineRule="auto" w:before="244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Conclusions </w:t>
      </w:r>
    </w:p>
    <w:p>
      <w:pPr>
        <w:autoSpaceDN w:val="0"/>
        <w:autoSpaceDE w:val="0"/>
        <w:widowControl/>
        <w:spacing w:line="252" w:lineRule="auto" w:before="258" w:after="0"/>
        <w:ind w:left="162" w:right="2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following conclusions can be drawn from the experimental results of biomass pyrolysis in molten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NaOH to produce hydrogen rich gas. Biomass sample type, reaction temperature, and additive addition have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significant influence on the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yield. Higher temperature contributes to higher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yield. The introduction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additives, especially NiCl, leads to increasing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yield. </w:t>
      </w:r>
    </w:p>
    <w:p>
      <w:pPr>
        <w:autoSpaceDN w:val="0"/>
        <w:autoSpaceDE w:val="0"/>
        <w:widowControl/>
        <w:spacing w:line="230" w:lineRule="auto" w:before="468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tabs>
          <w:tab w:pos="400" w:val="left"/>
        </w:tabs>
        <w:autoSpaceDE w:val="0"/>
        <w:widowControl/>
        <w:spacing w:line="245" w:lineRule="auto" w:before="214" w:after="0"/>
        <w:ind w:left="1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authors gratefully acknowledge the financial support from the National Natural Science Foundation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China (20906084) and graduate student Qi Shen for his help. </w:t>
      </w:r>
    </w:p>
    <w:p>
      <w:pPr>
        <w:autoSpaceDN w:val="0"/>
        <w:autoSpaceDE w:val="0"/>
        <w:widowControl/>
        <w:spacing w:line="233" w:lineRule="auto" w:before="484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[1] Abuadala A, Dincer I. A review on biomass-based hydrogen production and potential applications.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International Journal of Energy Research 2012; 36:415-455. </w:t>
      </w:r>
    </w:p>
    <w:p>
      <w:pPr>
        <w:autoSpaceDN w:val="0"/>
        <w:autoSpaceDE w:val="0"/>
        <w:widowControl/>
        <w:spacing w:line="245" w:lineRule="auto" w:before="1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[2] Lang YZ, Arnepalli RR, Tiwari A. A Review on Hydrogen Production: Methods, Materials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Nanotechnology. Journal of Nanoscience and Nanotechnology 2011; 11:3719-3739. </w:t>
      </w:r>
    </w:p>
    <w:p>
      <w:pPr>
        <w:autoSpaceDN w:val="0"/>
        <w:autoSpaceDE w:val="0"/>
        <w:widowControl/>
        <w:spacing w:line="245" w:lineRule="auto" w:before="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[3] Chang ACC, Chang HF, Lin FJ, Lin KH, Chen CH. Biomass gasification for hydrogen production.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International Journal of Hydrogen Energy 2011; 36:14252-14260. </w:t>
      </w:r>
    </w:p>
    <w:p>
      <w:pPr>
        <w:sectPr>
          <w:pgSz w:w="10885" w:h="14854"/>
          <w:pgMar w:top="368" w:right="1156" w:bottom="1214" w:left="652" w:header="720" w:footer="720" w:gutter="0"/>
          <w:cols w:space="720" w:num="1" w:equalWidth="0">
            <w:col w:w="9078" w:space="0"/>
            <w:col w:w="9674" w:space="0"/>
            <w:col w:w="9532" w:space="0"/>
            <w:col w:w="9378" w:space="0"/>
            <w:col w:w="961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9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Hongtao Jiang et al. /  AASRI Procedia  3 ( 2012 )  217 – 223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223</w:t>
      </w:r>
    </w:p>
    <w:p>
      <w:pPr>
        <w:autoSpaceDN w:val="0"/>
        <w:autoSpaceDE w:val="0"/>
        <w:widowControl/>
        <w:spacing w:line="245" w:lineRule="auto" w:before="38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[4] Xu QL, Lan P, Zhang BZ, Ren ZZ, Yan YJ. Hydrogen Production via Catalytic Steam Reforming of Fast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Pyrolysis Bio-oil in a Fluidized-Bed Reactor. Energy &amp; Fuels 2010; 24:6456-6462.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[5] Seyedeyn AF, Salehi E, Abedi J, Harding T. Biomass to hydrogen via catalytic steam reforming of bio-oil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over Ni-supported alumina catalysts. Fuel Processing Technology 2011; 92:563-569. </w:t>
      </w:r>
    </w:p>
    <w:p>
      <w:pPr>
        <w:autoSpaceDN w:val="0"/>
        <w:autoSpaceDE w:val="0"/>
        <w:widowControl/>
        <w:spacing w:line="245" w:lineRule="auto" w:before="8" w:after="0"/>
        <w:ind w:left="190" w:right="59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[6] Chang ACC, Louh RF, Wong D, Tseng J, Lee YS. Hydrogen production by aqueous-phase biomass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reforming over carbon textile supported Pt-Ru bimetallic catalysts. International Journal of Hydrogen Energy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2011: 36:8794-8799.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[7] Jiang, HT, Ai N, Wang M, Ji DX, Ji JB. Experimental Study on Thermal Pyrolysis of Biomass in Molten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Salt Media. Electrochemistry 2009; 77:730-735.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[8] Hu G, Xu SP, Li SG, Xiao XG, Liu SQ. Steam gasification of apricot stones with olivine and dolomite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downstream catalysts. Fuel Processing Technology 2006; 87:375-382. </w:t>
      </w:r>
    </w:p>
    <w:p>
      <w:pPr>
        <w:autoSpaceDN w:val="0"/>
        <w:autoSpaceDE w:val="0"/>
        <w:widowControl/>
        <w:spacing w:line="233" w:lineRule="auto" w:before="48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Contact of Corresponding Author: </w:t>
      </w:r>
    </w:p>
    <w:p>
      <w:pPr>
        <w:autoSpaceDN w:val="0"/>
        <w:autoSpaceDE w:val="0"/>
        <w:widowControl/>
        <w:spacing w:line="245" w:lineRule="auto" w:before="200" w:after="0"/>
        <w:ind w:left="190" w:right="63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Name: Hongtao Jiang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Email: docjht@126.com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Mobile Telephone: +86-15967117992 </w:t>
      </w:r>
    </w:p>
    <w:sectPr w:rsidR="00FC693F" w:rsidRPr="0006063C" w:rsidSect="00034616">
      <w:pgSz w:w="10885" w:h="14854"/>
      <w:pgMar w:top="368" w:right="532" w:bottom="1440" w:left="680" w:header="720" w:footer="720" w:gutter="0"/>
      <w:cols w:space="720" w:num="1" w:equalWidth="0">
        <w:col w:w="9674" w:space="0"/>
        <w:col w:w="9078" w:space="0"/>
        <w:col w:w="9674" w:space="0"/>
        <w:col w:w="9532" w:space="0"/>
        <w:col w:w="9378" w:space="0"/>
        <w:col w:w="9612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