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572770</wp:posOffset>
            </wp:positionV>
            <wp:extent cx="327660" cy="32459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" cy="3245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571500</wp:posOffset>
            </wp:positionV>
            <wp:extent cx="406400" cy="419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19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206"/>
        <w:gridCol w:w="3206"/>
        <w:gridCol w:w="3206"/>
      </w:tblGrid>
      <w:tr>
        <w:trPr>
          <w:trHeight w:hRule="exact" w:val="258"/>
        </w:trPr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810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3206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0" w:right="0" w:firstLine="0"/>
              <w:jc w:val="center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3206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3206"/>
            <w:vMerge/>
            <w:tcBorders/>
          </w:tcPr>
          <w:p/>
        </w:tc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6 ( 2014 )  66 – 72 </w:t>
            </w:r>
          </w:p>
        </w:tc>
        <w:tc>
          <w:tcPr>
            <w:tcW w:type="dxa" w:w="320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8" w:lineRule="exact" w:before="518" w:after="0"/>
        <w:ind w:left="0" w:right="0" w:firstLine="0"/>
        <w:jc w:val="center"/>
      </w:pPr>
      <w:r>
        <w:rPr>
          <w:w w:val="101.21739428976309"/>
          <w:rFonts w:ascii="TimesNewRomanPSMT" w:hAnsi="TimesNewRomanPSMT" w:eastAsia="TimesNewRomanPSMT"/>
          <w:b w:val="0"/>
          <w:i w:val="0"/>
          <w:color w:val="000000"/>
          <w:sz w:val="23"/>
        </w:rPr>
        <w:t xml:space="preserve">2013 2nd AASRI Conference on Computational Intelligence and Bioinformatics </w:t>
      </w:r>
    </w:p>
    <w:p>
      <w:pPr>
        <w:autoSpaceDN w:val="0"/>
        <w:autoSpaceDE w:val="0"/>
        <w:widowControl/>
        <w:spacing w:line="388" w:lineRule="exact" w:before="230" w:after="0"/>
        <w:ind w:left="864" w:right="72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3"/>
        </w:rPr>
        <w:t xml:space="preserve">Implementation of Decision-making Methods in Intelligent </w:t>
      </w:r>
      <w:r>
        <w:rPr>
          <w:rFonts w:ascii="TimesNewRomanPSMT" w:hAnsi="TimesNewRomanPSMT" w:eastAsia="TimesNewRomanPSMT"/>
          <w:b w:val="0"/>
          <w:i w:val="0"/>
          <w:color w:val="000000"/>
          <w:sz w:val="33"/>
        </w:rPr>
        <w:t xml:space="preserve">Automated Educational System Focused on Complete </w:t>
      </w:r>
      <w:r>
        <w:rPr>
          <w:rFonts w:ascii="TimesNewRomanPSMT" w:hAnsi="TimesNewRomanPSMT" w:eastAsia="TimesNewRomanPSMT"/>
          <w:b w:val="0"/>
          <w:i w:val="0"/>
          <w:color w:val="000000"/>
          <w:sz w:val="33"/>
        </w:rPr>
        <w:t xml:space="preserve">Individualization in Learning </w:t>
      </w:r>
    </w:p>
    <w:p>
      <w:pPr>
        <w:autoSpaceDN w:val="0"/>
        <w:autoSpaceDE w:val="0"/>
        <w:widowControl/>
        <w:spacing w:line="318" w:lineRule="exact" w:before="208" w:after="0"/>
        <w:ind w:left="0" w:right="0" w:firstLine="0"/>
        <w:jc w:val="center"/>
      </w:pPr>
      <w:r>
        <w:rPr>
          <w:w w:val="101.03520202636717"/>
          <w:rFonts w:ascii="TimesNewRomanPSMT" w:hAnsi="TimesNewRomanPSMT" w:eastAsia="TimesNewRomanPSMT"/>
          <w:b w:val="0"/>
          <w:i w:val="0"/>
          <w:color w:val="000000"/>
          <w:sz w:val="25"/>
        </w:rPr>
        <w:t>Victor Uglev</w:t>
      </w:r>
      <w:r>
        <w:rPr>
          <w:w w:val="97.22822974709904"/>
          <w:rFonts w:ascii="TimesNewRomanPSMT" w:hAnsi="TimesNewRomanPSMT" w:eastAsia="TimesNewRomanPSMT"/>
          <w:b w:val="0"/>
          <w:i w:val="0"/>
          <w:color w:val="000000"/>
          <w:sz w:val="17"/>
        </w:rPr>
        <w:t>a</w:t>
      </w:r>
      <w:r>
        <w:rPr>
          <w:w w:val="101.03520202636717"/>
          <w:rFonts w:ascii="TimesNewRomanPSMT" w:hAnsi="TimesNewRomanPSMT" w:eastAsia="TimesNewRomanPSMT"/>
          <w:b w:val="0"/>
          <w:i w:val="0"/>
          <w:color w:val="000000"/>
          <w:sz w:val="25"/>
        </w:rPr>
        <w:t xml:space="preserve">* </w:t>
      </w:r>
    </w:p>
    <w:p>
      <w:pPr>
        <w:autoSpaceDN w:val="0"/>
        <w:autoSpaceDE w:val="0"/>
        <w:widowControl/>
        <w:spacing w:line="190" w:lineRule="exact" w:before="164" w:after="0"/>
        <w:ind w:left="0" w:right="0" w:firstLine="0"/>
        <w:jc w:val="center"/>
      </w:pPr>
      <w:r>
        <w:rPr>
          <w:w w:val="96.61199569702148"/>
          <w:rFonts w:ascii="Times" w:hAnsi="Times" w:eastAsia="Times"/>
          <w:b w:val="0"/>
          <w:i/>
          <w:color w:val="000000"/>
          <w:sz w:val="10"/>
        </w:rPr>
        <w:t>a</w:t>
      </w:r>
      <w:r>
        <w:rPr>
          <w:w w:val="103.20800145467122"/>
          <w:rFonts w:ascii="Times" w:hAnsi="Times" w:eastAsia="Times"/>
          <w:b w:val="0"/>
          <w:i/>
          <w:color w:val="000000"/>
          <w:sz w:val="15"/>
        </w:rPr>
        <w:t xml:space="preserve">Department of Automated Systems, Siberian Federal University, No 12a, Kirova, Zheleznogorsk, 662971, Russia </w:t>
      </w:r>
    </w:p>
    <w:p>
      <w:pPr>
        <w:autoSpaceDN w:val="0"/>
        <w:autoSpaceDE w:val="0"/>
        <w:widowControl/>
        <w:spacing w:line="198" w:lineRule="exact" w:before="918" w:after="0"/>
        <w:ind w:left="490" w:right="0" w:firstLine="0"/>
        <w:jc w:val="left"/>
      </w:pPr>
      <w:r>
        <w:rPr>
          <w:w w:val="102.7058769674862"/>
          <w:rFonts w:ascii="Times" w:hAnsi="Times" w:eastAsia="Times"/>
          <w:b/>
          <w:i w:val="0"/>
          <w:color w:val="000000"/>
          <w:sz w:val="17"/>
        </w:rPr>
        <w:t xml:space="preserve">Abstract </w:t>
      </w:r>
    </w:p>
    <w:p>
      <w:pPr>
        <w:autoSpaceDN w:val="0"/>
        <w:autoSpaceDE w:val="0"/>
        <w:widowControl/>
        <w:spacing w:line="214" w:lineRule="exact" w:before="208" w:after="0"/>
        <w:ind w:left="490" w:right="502" w:firstLine="0"/>
        <w:jc w:val="both"/>
      </w:pPr>
      <w:r>
        <w:rPr>
          <w:w w:val="102.7058769674862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To solve a problem of individualization in learning based on Intelligent Automated Educational Systems (IAES) involves </w:t>
      </w:r>
      <w:r>
        <w:rPr>
          <w:w w:val="102.7058769674862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to devise special methods of decision-making. In this article we propose to implement a complete individualization in </w:t>
      </w:r>
      <w:r>
        <w:rPr>
          <w:w w:val="102.7058769674862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learning (assessment, individual learning path management, adaptation of the curriculum and test sampling, the synthesis </w:t>
      </w:r>
      <w:r>
        <w:rPr>
          <w:w w:val="102.7058769674862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of man-machine dialog) by means of afference process simulation. It is considered the problem of searching for a </w:t>
      </w:r>
      <w:r>
        <w:rPr>
          <w:w w:val="102.7058769674862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compromise of goals between the models of a student, a teacher and a tutor within the base of the current learning </w:t>
      </w:r>
      <w:r>
        <w:rPr>
          <w:w w:val="102.7058769674862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environment. To this effect it is proposed a four-stage IAES-based decision-making scheme and synthesis mechanism of </w:t>
      </w:r>
      <w:r>
        <w:rPr>
          <w:w w:val="102.7058769674862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Cognitive Maps of Knowledge Diagnostic (CMKD). The problems of CMKD synthesis and visualization is considered. In </w:t>
      </w:r>
      <w:r>
        <w:rPr>
          <w:w w:val="102.7058769674862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conclusion, the results of approbation the proposed technologies in learning are provided. </w:t>
      </w:r>
    </w:p>
    <w:p>
      <w:pPr>
        <w:autoSpaceDN w:val="0"/>
        <w:autoSpaceDE w:val="0"/>
        <w:widowControl/>
        <w:spacing w:line="268" w:lineRule="exact" w:before="112" w:after="0"/>
        <w:ind w:left="476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8"/>
        </w:rPr>
        <w:t xml:space="preserve">© 2014 The Authors. Published by Elsevier B. V. This is an open access article under the CC BY-NC-ND license </w:t>
      </w:r>
      <w:r>
        <w:rPr>
          <w:w w:val="102.30947795667147"/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© 2013 Uglev V.A. Published by Elsevier B.V. </w:t>
      </w:r>
    </w:p>
    <w:p>
      <w:pPr>
        <w:autoSpaceDN w:val="0"/>
        <w:autoSpaceDE w:val="0"/>
        <w:widowControl/>
        <w:spacing w:line="200" w:lineRule="exact" w:before="2" w:after="0"/>
        <w:ind w:left="432" w:right="144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8"/>
        </w:rPr>
        <w:t>(</w:t>
      </w:r>
      <w:r>
        <w:rPr>
          <w:rFonts w:ascii="Times" w:hAnsi="Times" w:eastAsia="Times"/>
          <w:b w:val="0"/>
          <w:i w:val="0"/>
          <w:color w:val="363393"/>
          <w:sz w:val="18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8"/>
        </w:rPr>
        <w:t xml:space="preserve">). </w:t>
      </w:r>
      <w:r>
        <w:rPr>
          <w:w w:val="102.30947795667147"/>
          <w:rFonts w:ascii="TimesNewRomanPSMT" w:hAnsi="TimesNewRomanPSMT" w:eastAsia="TimesNewRomanPSMT"/>
          <w:b w:val="0"/>
          <w:i w:val="0"/>
          <w:color w:val="000000"/>
          <w:sz w:val="19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8"/>
        </w:rPr>
        <w:t>Peer-review under responsibility of Scientific Committee of American Applied Science Research Institute</w:t>
      </w:r>
    </w:p>
    <w:p>
      <w:pPr>
        <w:autoSpaceDN w:val="0"/>
        <w:autoSpaceDE w:val="0"/>
        <w:widowControl/>
        <w:spacing w:line="172" w:lineRule="exact" w:before="138" w:after="0"/>
        <w:ind w:left="490" w:right="0" w:firstLine="0"/>
        <w:jc w:val="left"/>
      </w:pPr>
      <w:r>
        <w:rPr>
          <w:w w:val="103.20800145467122"/>
          <w:rFonts w:ascii="Times" w:hAnsi="Times" w:eastAsia="Times"/>
          <w:b w:val="0"/>
          <w:i/>
          <w:color w:val="000000"/>
          <w:sz w:val="15"/>
        </w:rPr>
        <w:t xml:space="preserve">Keywords: Intelligent Automated Educational System, individualization, Cognitive Maps of Knowledge Diagnosis, decision making </w:t>
      </w:r>
    </w:p>
    <w:p>
      <w:pPr>
        <w:autoSpaceDN w:val="0"/>
        <w:autoSpaceDE w:val="0"/>
        <w:widowControl/>
        <w:spacing w:line="198" w:lineRule="exact" w:before="1812" w:after="0"/>
        <w:ind w:left="722" w:right="4320" w:firstLine="0"/>
        <w:jc w:val="left"/>
      </w:pPr>
      <w:r>
        <w:rPr>
          <w:w w:val="103.20800145467122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* Corresponding author. Tel.: +8-923-581-2917; fax: +8-913-185-71-82. </w:t>
      </w:r>
      <w:r>
        <w:br/>
      </w:r>
      <w:r>
        <w:rPr>
          <w:w w:val="103.20800145467122"/>
          <w:rFonts w:ascii="Times" w:hAnsi="Times" w:eastAsia="Times"/>
          <w:b w:val="0"/>
          <w:i/>
          <w:color w:val="000000"/>
          <w:sz w:val="15"/>
        </w:rPr>
        <w:t>E-mail address:</w:t>
      </w:r>
      <w:r>
        <w:rPr>
          <w:w w:val="103.20800145467122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 uglev-v@yandex.ru. </w:t>
      </w:r>
    </w:p>
    <w:p>
      <w:pPr>
        <w:autoSpaceDN w:val="0"/>
        <w:autoSpaceDE w:val="0"/>
        <w:widowControl/>
        <w:spacing w:line="200" w:lineRule="exact" w:before="2156" w:after="0"/>
        <w:ind w:left="0" w:right="158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0" w:lineRule="exact" w:before="0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Peer-review under responsibility of Scientific Committee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10.1016/j.aasri.2014.05.010 </w:t>
      </w:r>
    </w:p>
    <w:p>
      <w:pPr>
        <w:sectPr>
          <w:pgSz w:w="10885" w:h="14854"/>
          <w:pgMar w:top="438" w:right="696" w:bottom="112" w:left="572" w:header="720" w:footer="720" w:gutter="0"/>
          <w:cols w:space="720" w:num="1" w:equalWidth="0">
            <w:col w:w="96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16" w:val="left"/>
        </w:tabs>
        <w:autoSpaceDE w:val="0"/>
        <w:widowControl/>
        <w:spacing w:line="176" w:lineRule="exact" w:before="0" w:after="0"/>
        <w:ind w:left="307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Victor Uglev /  AASRI Procedia  6 ( 2014 )  66 – 72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67</w:t>
      </w:r>
    </w:p>
    <w:p>
      <w:pPr>
        <w:autoSpaceDN w:val="0"/>
        <w:autoSpaceDE w:val="0"/>
        <w:widowControl/>
        <w:spacing w:line="228" w:lineRule="exact" w:before="406" w:after="0"/>
        <w:ind w:left="19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1. Introduction </w:t>
      </w:r>
    </w:p>
    <w:p>
      <w:pPr>
        <w:autoSpaceDN w:val="0"/>
        <w:autoSpaceDE w:val="0"/>
        <w:widowControl/>
        <w:spacing w:line="240" w:lineRule="exact" w:before="234" w:after="0"/>
        <w:ind w:left="190" w:right="41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Sustainable improvement of modern intelligent automated training systems brings in individual learning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education to a new qualitative level. However in the recent times such systems serve as bridging tool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traditional forms in education. E-learning resources available through global and corporate computer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networks allow develop a learned-oriented didactic material capable to solved individual goals [Schejbal,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2012]. But the accessibility of individual-oriented net-training (self-study) implies an integrated approach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analysis of the learning environment and decision-making by solver of Intelligence Automated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Educational/Training System (IAES). </w:t>
      </w:r>
    </w:p>
    <w:p>
      <w:pPr>
        <w:autoSpaceDN w:val="0"/>
        <w:autoSpaceDE w:val="0"/>
        <w:widowControl/>
        <w:spacing w:line="240" w:lineRule="exact" w:before="0" w:after="0"/>
        <w:ind w:left="190" w:right="288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a first approximation, IAES includes such component as an e-course translator, training subsystem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(virtual laboratory, programmed mathematical model, e-workbook) control subsystem (usually in the form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computer tests), I/O interfaces, database, solver, along with a set of models comprising knowledge base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aimed at performing such functions as presentation, consolidation and didactic material control by means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making decisions of individualization of educational material, on-line guiding the learning of an individual,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adaptation of the e-material presentation and control functions and flexible man-machine dialog in a natural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language interaction form [Uglev, 2008 and 2010] when implementing individualized learning. To provide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these IAES should apply an effective mechanism for decision-making that the kernel of the system (the solver)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will perform in conflict-of-interest cases. The conflict arises when determining the IALS strategy performance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that simultaneously considers both the problem of learning (e-learning developer in the form of teacher's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model), and individual goals of a learner (student model). This work is an attempt of a comprehensive view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topic. </w:t>
      </w:r>
    </w:p>
    <w:p>
      <w:pPr>
        <w:autoSpaceDN w:val="0"/>
        <w:autoSpaceDE w:val="0"/>
        <w:widowControl/>
        <w:spacing w:line="240" w:lineRule="exact" w:before="0" w:after="0"/>
        <w:ind w:left="190" w:right="414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structure of the article encompasses:  updated study (section 2); problem setting  (section 3);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unified principle of a four-stage information processing solver IAES (section 4); detailing phase metric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concentration (section 5);  including the results of experimental approbation of the proposed approaches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(section 6), the conclusion contains the prospects for further research on improvement of the new generation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IAES performance. </w:t>
      </w:r>
    </w:p>
    <w:p>
      <w:pPr>
        <w:autoSpaceDN w:val="0"/>
        <w:autoSpaceDE w:val="0"/>
        <w:widowControl/>
        <w:spacing w:line="228" w:lineRule="exact" w:before="258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2. Related Work </w:t>
      </w:r>
    </w:p>
    <w:p>
      <w:pPr>
        <w:autoSpaceDN w:val="0"/>
        <w:autoSpaceDE w:val="0"/>
        <w:widowControl/>
        <w:spacing w:line="240" w:lineRule="exact" w:before="234" w:after="0"/>
        <w:ind w:left="192" w:right="414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When thinking about education and technology the basic difficulty in assessing the educational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environment in the student- IAES interaction turns out to be the insufficiency of objective data about human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behavior: what only registered is mouse reactions and keystrokes (assuming that learning goes on an average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personal computer). Thus, IAES is mainly forced to operate with indirect information about student response,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impedes the individualized feedback and slows down wide-scale up-take of such training systems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[Dendeva, 2013]. Consequently, the task of building up a learning environment model and its complex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processing by the solver are key elements in the organization of effective IAES decision-making. </w:t>
      </w:r>
    </w:p>
    <w:p>
      <w:pPr>
        <w:autoSpaceDN w:val="0"/>
        <w:autoSpaceDE w:val="0"/>
        <w:widowControl/>
        <w:spacing w:line="240" w:lineRule="exact" w:before="0" w:after="0"/>
        <w:ind w:left="192" w:right="288" w:firstLine="23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Various researchers have identified a set of models in the IAES knowledge base that are critical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decision-making for learning process guiding i.e. a model of student, a model of teacher, a model of learning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environment [Karpenko and Dobryakov, 2011] and a model of tutor. Focusing of the nature on decision-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making the following three trends in the development of strategy of decisions made by IAES become obvious: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knowledge-based model, behaviors-based and hybrid-based approaches. The third approach looks as the most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promising as it combines the principles of cybernetics (the formalization of decision logic)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neurophysiology (achievements of bioinformatics) because of taking into account limited data on the student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status. From our point of view, the number of comprehensive complex research based on the manipulation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explicit knowledge (without the use of artificial neural networks) in this area is not enough [Brusilovsky,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2003]. As for the challenge of solving the problem of conflict-of-interest, it requires more extended study for </w:t>
      </w:r>
    </w:p>
    <w:p>
      <w:pPr>
        <w:sectPr>
          <w:pgSz w:w="10885" w:h="14854"/>
          <w:pgMar w:top="368" w:right="540" w:bottom="780" w:left="842" w:header="720" w:footer="720" w:gutter="0"/>
          <w:cols w:space="720" w:num="1" w:equalWidth="0">
            <w:col w:w="9503" w:space="0"/>
            <w:col w:w="96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8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68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Victor Uglev /  AASRI Procedia  6 ( 2014 )  66 – 72 </w:t>
      </w:r>
    </w:p>
    <w:p>
      <w:pPr>
        <w:autoSpaceDN w:val="0"/>
        <w:autoSpaceDE w:val="0"/>
        <w:widowControl/>
        <w:spacing w:line="240" w:lineRule="exact" w:before="386" w:after="0"/>
        <w:ind w:left="370" w:right="7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interaction model of student and model of teacher within IAES structure: individualization process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reduced to gradually bring the student's knowledge to rigidly electronic educational resource standard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specified by the developer, ignoring individual goals of a student [Uglev, 2010]. This side of IAES operation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will benefit to further investigation from methodological, technological and technical points of view. </w:t>
      </w:r>
    </w:p>
    <w:p>
      <w:pPr>
        <w:autoSpaceDN w:val="0"/>
        <w:autoSpaceDE w:val="0"/>
        <w:widowControl/>
        <w:spacing w:line="230" w:lineRule="exact" w:before="258" w:after="0"/>
        <w:ind w:left="37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3. Problem Setting </w:t>
      </w:r>
    </w:p>
    <w:p>
      <w:pPr>
        <w:autoSpaceDN w:val="0"/>
        <w:autoSpaceDE w:val="0"/>
        <w:widowControl/>
        <w:spacing w:line="240" w:lineRule="exact" w:before="232" w:after="0"/>
        <w:ind w:left="370" w:right="6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Let’s consider a problem of constructing the logic of the IAES solver allowing for orchestration of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collaborate model of student, model of teacher and model of tutor (e.g. in kind of a program agents) in solving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problems of managing individually learning path, adaptation of the curse curriculum and the test sampling,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evaluation , synthesis man-machine dialog, i.e. providing complete individualization in learning [Uglev,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2011]. It is obvious, that for resolution of conflict-of-interest in individualization of didactic impacts asks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building an entirely new scheme of adequate decision making training system that will have reasonable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expectations in computer processing capacity. It is necessary to obtain a strategy of knowledge representation,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 which the decision can be clearly explained, i.e. to avoid a semantic leap in reasoning that would impede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getting arguments of the IAES operation when discussing the learning case with students. </w:t>
      </w:r>
    </w:p>
    <w:p>
      <w:pPr>
        <w:autoSpaceDN w:val="0"/>
        <w:autoSpaceDE w:val="0"/>
        <w:widowControl/>
        <w:spacing w:line="238" w:lineRule="exact" w:before="10" w:after="200"/>
        <w:ind w:left="370" w:right="0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this we introduce some notation. Let’s define a set of didactic material as </w:t>
      </w:r>
      <w:r>
        <w:rPr>
          <w:rFonts w:ascii="Times" w:hAnsi="Times" w:eastAsia="Times"/>
          <w:b w:val="0"/>
          <w:i/>
          <w:color w:val="000000"/>
          <w:sz w:val="2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; with formalized semantic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links within e-learning course and user’s individual preferences and some physiological parameters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content of training </w:t>
      </w:r>
      <w:r>
        <w:rPr>
          <w:rFonts w:ascii="Times" w:hAnsi="Times" w:eastAsia="Times"/>
          <w:b w:val="0"/>
          <w:i/>
          <w:color w:val="000000"/>
          <w:sz w:val="20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(usually conducted through questionnaires and test output control) are identified.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addition, the history of the student work with IAES in kind of a protocol data system </w:t>
      </w:r>
      <w:r>
        <w:rPr>
          <w:rFonts w:ascii="SymbolMT" w:hAnsi="SymbolMT" w:eastAsia="SymbolMT"/>
          <w:b w:val="0"/>
          <w:i w:val="0"/>
          <w:color w:val="000000"/>
          <w:sz w:val="21"/>
        </w:rPr>
        <w:t>�</w:t>
      </w:r>
      <w:r>
        <w:rPr>
          <w:rFonts w:ascii="Times" w:hAnsi="Times" w:eastAsia="Times"/>
          <w:b w:val="0"/>
          <w:i/>
          <w:color w:val="000000"/>
          <w:sz w:val="18"/>
        </w:rPr>
        <w:t>X</w:t>
      </w:r>
      <w:r>
        <w:rPr>
          <w:rFonts w:ascii="Times" w:hAnsi="Times" w:eastAsia="Times"/>
          <w:b w:val="0"/>
          <w:i/>
          <w:color w:val="000000"/>
          <w:sz w:val="16"/>
        </w:rPr>
        <w:t>t</w:t>
      </w:r>
      <w:r>
        <w:rPr>
          <w:rFonts w:ascii="SymbolMT" w:hAnsi="SymbolMT" w:eastAsia="SymbolMT"/>
          <w:b w:val="0"/>
          <w:i w:val="0"/>
          <w:color w:val="000000"/>
          <w:sz w:val="21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time </w:t>
      </w:r>
      <w:r>
        <w:rPr>
          <w:rFonts w:ascii="Times" w:hAnsi="Times" w:eastAsia="Time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known.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Broadly speaking, an automatic decision-making will be to implement a mapping mechanism (1), where </w:t>
      </w:r>
      <w:r>
        <w:rPr>
          <w:rFonts w:ascii="Times" w:hAnsi="Times" w:eastAsia="Times"/>
          <w:b w:val="0"/>
          <w:i/>
          <w:color w:val="000000"/>
          <w:sz w:val="18"/>
        </w:rPr>
        <w:t xml:space="preserve">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</w:t>
      </w:r>
      <w:r>
        <w:rPr>
          <w:w w:val="101.000001695421"/>
          <w:rFonts w:ascii="Times" w:hAnsi="Times" w:eastAsia="Times"/>
          <w:b w:val="0"/>
          <w:i/>
          <w:color w:val="000000"/>
          <w:sz w:val="18"/>
        </w:rPr>
        <w:t>j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 are the identifier of a solution aspect and serial number to the status, respectively.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>
        <w:trPr>
          <w:trHeight w:hRule="exact" w:val="474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4" w:after="0"/>
              <w:ind w:left="0" w:right="34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f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: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800" cy="152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A X</w:t>
            </w:r>
          </w:p>
        </w:tc>
        <w:tc>
          <w:tcPr>
            <w:tcW w:type="dxa" w:w="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8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|</w:t>
            </w:r>
          </w:p>
        </w:tc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D</w:t>
            </w:r>
            <w:r>
              <w:drawing>
                <wp:inline xmlns:a="http://schemas.openxmlformats.org/drawingml/2006/main" xmlns:pic="http://schemas.openxmlformats.org/drawingml/2006/picture">
                  <wp:extent cx="50800" cy="152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84" w:after="0"/>
              <w:ind w:left="30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8"/>
              </w:rPr>
              <w:t>R</w:t>
            </w:r>
          </w:p>
        </w:tc>
        <w:tc>
          <w:tcPr>
            <w:tcW w:type="dxa" w:w="3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90" w:after="0"/>
              <w:ind w:left="0" w:right="42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(1) </w:t>
            </w:r>
          </w:p>
        </w:tc>
      </w:tr>
    </w:tbl>
    <w:p>
      <w:pPr>
        <w:autoSpaceDN w:val="0"/>
        <w:autoSpaceDE w:val="0"/>
        <w:widowControl/>
        <w:spacing w:line="238" w:lineRule="exact" w:before="178" w:after="0"/>
        <w:ind w:left="370" w:right="70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Obviously, to move to a weighted decision or combination of them, a detail logic display </w:t>
      </w:r>
      <w:r>
        <w:rPr>
          <w:rFonts w:ascii="Times" w:hAnsi="Times" w:eastAsia="Times"/>
          <w:b w:val="0"/>
          <w:i/>
          <w:color w:val="000000"/>
          <w:sz w:val="20"/>
        </w:rPr>
        <w:t>f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should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implemented, organizing expert conclusion with advanced computing capabilities (e.g. in the form of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weighted ontology). We can offer a unified approach to the complex processing of original data on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student's interactions with IAES, allowing to organize decision-making process in individualized learning. </w:t>
      </w:r>
    </w:p>
    <w:p>
      <w:pPr>
        <w:autoSpaceDN w:val="0"/>
        <w:autoSpaceDE w:val="0"/>
        <w:widowControl/>
        <w:spacing w:line="230" w:lineRule="exact" w:before="258" w:after="0"/>
        <w:ind w:left="370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4. Technology of Information Processing in IAES </w:t>
      </w:r>
    </w:p>
    <w:p>
      <w:pPr>
        <w:autoSpaceDN w:val="0"/>
        <w:autoSpaceDE w:val="0"/>
        <w:widowControl/>
        <w:spacing w:line="240" w:lineRule="exact" w:before="232" w:after="0"/>
        <w:ind w:left="370" w:right="0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Formalizing the pattern of decision-making logic an expert teacher must apply to its physiological structure.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 was disclosed in the fundamental work of P.K. Anokhin on the theory of functional systems [Anokhin, 1974,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WIKI]. A key element of decision-making in the implementation of targeted behavioral act, in our opinion,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afferent synthesis. He suggests that to analyze the situation not only it requires to know the current state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learning environment, but also the dynamics of changes in key factors (memory and experience), as well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their own (individual) target setting. Then let’s introduce some number of stages of the original information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knowledge transformation that will enable the IAES solver to implement decision-making (Table 1) at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moment t when a need for guiding learning process arises. </w:t>
      </w:r>
    </w:p>
    <w:p>
      <w:pPr>
        <w:autoSpaceDN w:val="0"/>
        <w:autoSpaceDE w:val="0"/>
        <w:widowControl/>
        <w:spacing w:line="240" w:lineRule="exact" w:before="0" w:after="0"/>
        <w:ind w:left="370" w:right="6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Thus, we can speak about four stages of the synthesis and concentration of the benchmark data in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implementation of inference in multivariate decision-making situation intelligent kernel of tutoring system.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emphasize that the implementation of stages 1-3 is performed single fold when the learning environment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changing, and the implementation of stage 4 is performed multiple. This is due to the fact that processing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substantial volume of an array of benchmark information requires considerable computer resources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decision-making situation occurs frequently. For example, a grade adjustment for a test, generation of </w:t>
      </w:r>
    </w:p>
    <w:p>
      <w:pPr>
        <w:sectPr>
          <w:pgSz w:w="10885" w:h="14854"/>
          <w:pgMar w:top="368" w:right="896" w:bottom="1192" w:left="652" w:header="720" w:footer="720" w:gutter="0"/>
          <w:cols w:space="720" w:num="1" w:equalWidth="0">
            <w:col w:w="9338" w:space="0"/>
            <w:col w:w="9503" w:space="0"/>
            <w:col w:w="96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42" w:val="left"/>
        </w:tabs>
        <w:autoSpaceDE w:val="0"/>
        <w:widowControl/>
        <w:spacing w:line="176" w:lineRule="exact" w:before="0" w:after="0"/>
        <w:ind w:left="309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Victor Uglev /  AASRI Procedia  6 ( 2014 )  66 – 72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69</w:t>
      </w:r>
    </w:p>
    <w:p>
      <w:pPr>
        <w:autoSpaceDN w:val="0"/>
        <w:autoSpaceDE w:val="0"/>
        <w:widowControl/>
        <w:spacing w:line="240" w:lineRule="exact" w:before="388" w:after="0"/>
        <w:ind w:left="192" w:right="44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complex clues and the synthesis of man-machine dialog (explaining difficulties) require knowledge at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level of aspects and should be implemented almost simultaneously (only the final stage of generalization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specified). Fundamentally, the essence of metric concentration (stage 2) from the table is not clear so we shall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explain it in more details. </w:t>
      </w:r>
    </w:p>
    <w:p>
      <w:pPr>
        <w:autoSpaceDN w:val="0"/>
        <w:autoSpaceDE w:val="0"/>
        <w:widowControl/>
        <w:spacing w:line="178" w:lineRule="exact" w:before="222" w:after="246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Table 1. IAES decision-making stages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.00000000000006" w:type="dxa"/>
      </w:tblPr>
      <w:tblGrid>
        <w:gridCol w:w="1588"/>
        <w:gridCol w:w="1588"/>
        <w:gridCol w:w="1588"/>
        <w:gridCol w:w="1588"/>
        <w:gridCol w:w="1588"/>
        <w:gridCol w:w="1588"/>
      </w:tblGrid>
      <w:tr>
        <w:trPr>
          <w:trHeight w:hRule="exact" w:val="210"/>
        </w:trPr>
        <w:tc>
          <w:tcPr>
            <w:tcW w:type="dxa" w:w="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Stage </w:t>
            </w:r>
          </w:p>
        </w:tc>
        <w:tc>
          <w:tcPr>
            <w:tcW w:type="dxa" w:w="11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12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Description </w:t>
            </w:r>
          </w:p>
        </w:tc>
        <w:tc>
          <w:tcPr>
            <w:tcW w:type="dxa" w:w="16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Benchmark data </w:t>
            </w:r>
          </w:p>
        </w:tc>
        <w:tc>
          <w:tcPr>
            <w:tcW w:type="dxa" w:w="17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Performance result </w:t>
            </w:r>
          </w:p>
        </w:tc>
        <w:tc>
          <w:tcPr>
            <w:tcW w:type="dxa" w:w="22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2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Basic mechanisms </w:t>
            </w:r>
          </w:p>
        </w:tc>
        <w:tc>
          <w:tcPr>
            <w:tcW w:type="dxa" w:w="178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0" w:right="24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Multiplicity </w:t>
            </w:r>
          </w:p>
        </w:tc>
      </w:tr>
    </w:tbl>
    <w:p>
      <w:pPr>
        <w:autoSpaceDN w:val="0"/>
        <w:autoSpaceDE w:val="0"/>
        <w:widowControl/>
        <w:spacing w:line="176" w:lineRule="exact" w:before="6" w:after="12"/>
        <w:ind w:left="8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(operation)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.00000000000006" w:type="dxa"/>
      </w:tblPr>
      <w:tblGrid>
        <w:gridCol w:w="1361"/>
        <w:gridCol w:w="1361"/>
        <w:gridCol w:w="1361"/>
        <w:gridCol w:w="1361"/>
        <w:gridCol w:w="1361"/>
        <w:gridCol w:w="1361"/>
        <w:gridCol w:w="1361"/>
      </w:tblGrid>
      <w:tr>
        <w:trPr>
          <w:trHeight w:hRule="exact" w:val="278"/>
        </w:trPr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0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1 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0" w:after="0"/>
              <w:ind w:left="2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Statistics 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0" w:after="0"/>
              <w:ind w:left="0" w:right="0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19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X</w:t>
            </w:r>
            <w:r>
              <w:rPr>
                <w:rFonts w:ascii="Times" w:hAnsi="Times" w:eastAsia="Times"/>
                <w:b w:val="0"/>
                <w:i/>
                <w:color w:val="000000"/>
                <w:sz w:val="12"/>
              </w:rPr>
              <w:t>t</w:t>
            </w:r>
            <w:r>
              <w:rPr>
                <w:rFonts w:ascii="SymbolMT" w:hAnsi="SymbolMT" w:eastAsia="SymbolMT"/>
                <w:b w:val="0"/>
                <w:i w:val="0"/>
                <w:color w:val="000000"/>
                <w:sz w:val="19"/>
              </w:rPr>
              <w:t>�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0" w:after="0"/>
              <w:ind w:left="2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data </w:t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Pooled fact </w:t>
            </w:r>
          </w:p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0" w:after="0"/>
              <w:ind w:left="47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Statistics processing, Fuzzy Logic 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0" w:after="0"/>
              <w:ind w:left="25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Single fold </w:t>
            </w:r>
          </w:p>
        </w:tc>
      </w:tr>
      <w:tr>
        <w:trPr>
          <w:trHeight w:hRule="exact" w:val="212"/>
        </w:trPr>
        <w:tc>
          <w:tcPr>
            <w:tcW w:type="dxa" w:w="1361"/>
            <w:vMerge/>
            <w:tcBorders/>
          </w:tcPr>
          <w:p/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concentration </w:t>
            </w:r>
          </w:p>
        </w:tc>
        <w:tc>
          <w:tcPr>
            <w:tcW w:type="dxa" w:w="1361"/>
            <w:vMerge/>
            <w:tcBorders/>
          </w:tcPr>
          <w:p/>
        </w:tc>
        <w:tc>
          <w:tcPr>
            <w:tcW w:type="dxa" w:w="1361"/>
            <w:vMerge/>
            <w:tcBorders/>
          </w:tcPr>
          <w:p/>
        </w:tc>
        <w:tc>
          <w:tcPr>
            <w:tcW w:type="dxa" w:w="1361"/>
            <w:vMerge/>
            <w:tcBorders/>
          </w:tcPr>
          <w:p/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4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results [Zadeh, 1988] and special </w:t>
            </w:r>
          </w:p>
        </w:tc>
        <w:tc>
          <w:tcPr>
            <w:tcW w:type="dxa" w:w="136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6" w:lineRule="exact" w:before="0" w:after="52"/>
        <w:ind w:left="5404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calculation (including Numerical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Probabilistic Analysis [Dobronets and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Popova, 2012])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.00000000000006" w:type="dxa"/>
      </w:tblPr>
      <w:tblGrid>
        <w:gridCol w:w="1588"/>
        <w:gridCol w:w="1588"/>
        <w:gridCol w:w="1588"/>
        <w:gridCol w:w="1588"/>
        <w:gridCol w:w="1588"/>
        <w:gridCol w:w="1588"/>
      </w:tblGrid>
      <w:tr>
        <w:trPr>
          <w:trHeight w:hRule="exact" w:val="228"/>
        </w:trPr>
        <w:tc>
          <w:tcPr>
            <w:tcW w:type="dxa" w:w="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2 </w:t>
            </w:r>
          </w:p>
        </w:tc>
        <w:tc>
          <w:tcPr>
            <w:tcW w:type="dxa" w:w="1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2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Metric </w:t>
            </w:r>
          </w:p>
        </w:tc>
        <w:tc>
          <w:tcPr>
            <w:tcW w:type="dxa" w:w="1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2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Knowledge base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1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Cognitive Maps of </w:t>
            </w:r>
          </w:p>
        </w:tc>
        <w:tc>
          <w:tcPr>
            <w:tcW w:type="dxa" w:w="2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1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Mapping, heuristics, cognitive </w:t>
            </w:r>
          </w:p>
        </w:tc>
        <w:tc>
          <w:tcPr>
            <w:tcW w:type="dxa" w:w="1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Single fold </w:t>
            </w:r>
          </w:p>
        </w:tc>
      </w:tr>
      <w:tr>
        <w:trPr>
          <w:trHeight w:hRule="exact" w:val="252"/>
        </w:trPr>
        <w:tc>
          <w:tcPr>
            <w:tcW w:type="dxa" w:w="4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2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3 </w:t>
            </w:r>
          </w:p>
        </w:tc>
        <w:tc>
          <w:tcPr>
            <w:tcW w:type="dxa" w:w="1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concentration </w:t>
            </w:r>
          </w:p>
        </w:tc>
        <w:tc>
          <w:tcPr>
            <w:tcW w:type="dxa" w:w="1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and Stage 1 results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Knowledge Diagnosis </w:t>
            </w:r>
          </w:p>
        </w:tc>
        <w:tc>
          <w:tcPr>
            <w:tcW w:type="dxa" w:w="2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1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graphics </w:t>
            </w:r>
          </w:p>
        </w:tc>
        <w:tc>
          <w:tcPr>
            <w:tcW w:type="dxa" w:w="14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Single fold </w:t>
            </w:r>
          </w:p>
        </w:tc>
      </w:tr>
      <w:tr>
        <w:trPr>
          <w:trHeight w:hRule="exact" w:val="228"/>
        </w:trPr>
        <w:tc>
          <w:tcPr>
            <w:tcW w:type="dxa" w:w="1588"/>
            <w:vMerge/>
            <w:tcBorders/>
          </w:tcPr>
          <w:p/>
        </w:tc>
        <w:tc>
          <w:tcPr>
            <w:tcW w:type="dxa" w:w="1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2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Semantic </w:t>
            </w:r>
          </w:p>
        </w:tc>
        <w:tc>
          <w:tcPr>
            <w:tcW w:type="dxa" w:w="1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2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Knowledge base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1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Intermediate </w:t>
            </w:r>
          </w:p>
        </w:tc>
        <w:tc>
          <w:tcPr>
            <w:tcW w:type="dxa" w:w="2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50" w:after="0"/>
              <w:ind w:left="1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Heuristics </w:t>
            </w:r>
          </w:p>
        </w:tc>
        <w:tc>
          <w:tcPr>
            <w:tcW w:type="dxa" w:w="1588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4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02" w:after="0"/>
              <w:ind w:left="1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4 </w:t>
            </w:r>
          </w:p>
        </w:tc>
        <w:tc>
          <w:tcPr>
            <w:tcW w:type="dxa" w:w="1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concentration </w:t>
            </w:r>
          </w:p>
        </w:tc>
        <w:tc>
          <w:tcPr>
            <w:tcW w:type="dxa" w:w="1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and Stage 2 results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deductions (aspects) </w:t>
            </w:r>
          </w:p>
        </w:tc>
        <w:tc>
          <w:tcPr>
            <w:tcW w:type="dxa" w:w="24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2" w:after="0"/>
              <w:ind w:left="1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Production rules </w:t>
            </w:r>
          </w:p>
        </w:tc>
        <w:tc>
          <w:tcPr>
            <w:tcW w:type="dxa" w:w="14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2" w:after="0"/>
              <w:ind w:left="35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Multiple </w:t>
            </w:r>
          </w:p>
        </w:tc>
      </w:tr>
      <w:tr>
        <w:trPr>
          <w:trHeight w:hRule="exact" w:val="228"/>
        </w:trPr>
        <w:tc>
          <w:tcPr>
            <w:tcW w:type="dxa" w:w="1588"/>
            <w:vMerge/>
            <w:tcBorders/>
          </w:tcPr>
          <w:p/>
        </w:tc>
        <w:tc>
          <w:tcPr>
            <w:tcW w:type="dxa" w:w="1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26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Logical </w:t>
            </w:r>
          </w:p>
        </w:tc>
        <w:tc>
          <w:tcPr>
            <w:tcW w:type="dxa" w:w="1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21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Knowledge base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50" w:after="0"/>
              <w:ind w:left="1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Decision sampling </w:t>
            </w:r>
          </w:p>
        </w:tc>
        <w:tc>
          <w:tcPr>
            <w:tcW w:type="dxa" w:w="1588"/>
            <w:vMerge/>
            <w:tcBorders/>
          </w:tcPr>
          <w:p/>
        </w:tc>
        <w:tc>
          <w:tcPr>
            <w:tcW w:type="dxa" w:w="1588"/>
            <w:vMerge/>
            <w:tcBorders/>
          </w:tcPr>
          <w:p/>
        </w:tc>
      </w:tr>
      <w:tr>
        <w:trPr>
          <w:trHeight w:hRule="exact" w:val="214"/>
        </w:trPr>
        <w:tc>
          <w:tcPr>
            <w:tcW w:type="dxa" w:w="1588"/>
            <w:vMerge/>
            <w:tcBorders/>
          </w:tcPr>
          <w:p/>
        </w:tc>
        <w:tc>
          <w:tcPr>
            <w:tcW w:type="dxa" w:w="1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concentration </w:t>
            </w:r>
          </w:p>
        </w:tc>
        <w:tc>
          <w:tcPr>
            <w:tcW w:type="dxa" w:w="1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and Stage 3 results </w:t>
            </w:r>
          </w:p>
        </w:tc>
        <w:tc>
          <w:tcPr>
            <w:tcW w:type="dxa" w:w="1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from </w:t>
            </w: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 for  specific </w:t>
            </w:r>
          </w:p>
        </w:tc>
        <w:tc>
          <w:tcPr>
            <w:tcW w:type="dxa" w:w="1588"/>
            <w:vMerge/>
            <w:tcBorders/>
          </w:tcPr>
          <w:p/>
        </w:tc>
        <w:tc>
          <w:tcPr>
            <w:tcW w:type="dxa" w:w="158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6" w:lineRule="exact" w:before="10" w:after="0"/>
        <w:ind w:left="0" w:right="476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IAES responces </w:t>
      </w:r>
    </w:p>
    <w:p>
      <w:pPr>
        <w:autoSpaceDN w:val="0"/>
        <w:autoSpaceDE w:val="0"/>
        <w:widowControl/>
        <w:spacing w:line="228" w:lineRule="exact" w:before="348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5. The CMKD Stage </w:t>
      </w:r>
    </w:p>
    <w:p>
      <w:pPr>
        <w:autoSpaceDN w:val="0"/>
        <w:autoSpaceDE w:val="0"/>
        <w:widowControl/>
        <w:spacing w:line="240" w:lineRule="exact" w:before="234" w:after="0"/>
        <w:ind w:left="192" w:right="43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concentration and visualization of data on the situation in which IAES needs to make decision 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A.A. Zenkin [Nechaev et al., 2002] mapping-based cognitive computer graphics approach was selected.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Typically, map metaphor used in training for the concentration of learning subject material [Shteinberg, 2002]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 extracting knowledge from it [Gladun A.J. et al., 2012]. For the purpose of methodological support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educational process (as a teacher’s tool, especially IAES) mapping approaches is not studied enough. </w:t>
      </w:r>
    </w:p>
    <w:p>
      <w:pPr>
        <w:autoSpaceDN w:val="0"/>
        <w:autoSpaceDE w:val="0"/>
        <w:widowControl/>
        <w:spacing w:line="238" w:lineRule="exact" w:before="10" w:after="0"/>
        <w:ind w:left="192" w:right="43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So, </w:t>
      </w:r>
      <w:r>
        <w:rPr>
          <w:rFonts w:ascii="Times" w:hAnsi="Times" w:eastAsia="Times"/>
          <w:b w:val="0"/>
          <w:i/>
          <w:color w:val="000000"/>
          <w:sz w:val="20"/>
        </w:rPr>
        <w:t>Cognitive Maps of Knowledge Diagnosis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(CMKD) – is the result of the implementing of the phase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information generalization (afferent synthesis) with the IAES logic of automatic preparing (translation)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information about the process of learning to simplify complex expert analysis of the learning environment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work out an adequate response system to the student action [Uglev, 2012]. As any map CMKD possesses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features of metric, orientation (vector) and scale [Kovaleva, 2012]. </w:t>
      </w:r>
    </w:p>
    <w:p>
      <w:pPr>
        <w:autoSpaceDN w:val="0"/>
        <w:autoSpaceDE w:val="0"/>
        <w:widowControl/>
        <w:spacing w:line="238" w:lineRule="exact" w:before="10" w:after="0"/>
        <w:ind w:left="192" w:right="43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CMKD is processed with IAES solver each time when you need to make a decision from </w:t>
      </w:r>
      <w:r>
        <w:rPr>
          <w:rFonts w:ascii="Times" w:hAnsi="Times" w:eastAsia="Times"/>
          <w:b w:val="0"/>
          <w:i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or a need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rebuilding the map arises. In IAES window represents the discipline structure with overlapping of pooled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dynamic and calculated characteristics of learning environment, as well as bringing the common meaningful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data from the passport and student discipline for the selected semantic layer in the reference area.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semantic layers are responsible for grouping and normalization (metric concentration) of the pooled data,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well as their visualization, operating symbols, arrows and numbers, their design (shape, color, contours,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shading, etc.). The basic semantic layers are considered integrated, competence, assessment, profiling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several others. </w:t>
      </w:r>
    </w:p>
    <w:p>
      <w:pPr>
        <w:autoSpaceDN w:val="0"/>
        <w:autoSpaceDE w:val="0"/>
        <w:widowControl/>
        <w:spacing w:line="240" w:lineRule="exact" w:before="0" w:after="0"/>
        <w:ind w:left="192" w:right="438" w:firstLine="2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fact, the CMKD synthesis technique can be applied to semi-automatic learning process (tutor conducts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surveys and testing), then the map building is done by hand, and the task of decision-making rests on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individual  (teacher or subject tutor). The main goal of the automated CMKD synthesis is to contribute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development of heuristics that enables IAES to reasonably approach to logical concentration on intermediate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conclusions (aspects). </w:t>
      </w:r>
    </w:p>
    <w:p>
      <w:pPr>
        <w:sectPr>
          <w:pgSz w:w="10885" w:h="14854"/>
          <w:pgMar w:top="368" w:right="540" w:bottom="780" w:left="816" w:header="720" w:footer="720" w:gutter="0"/>
          <w:cols w:space="720" w:num="1" w:equalWidth="0">
            <w:col w:w="9529" w:space="0"/>
            <w:col w:w="9338" w:space="0"/>
            <w:col w:w="9503" w:space="0"/>
            <w:col w:w="96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8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70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Victor Uglev /  AASRI Procedia  6 ( 2014 )  66 – 72 </w:t>
      </w:r>
    </w:p>
    <w:p>
      <w:pPr>
        <w:autoSpaceDN w:val="0"/>
        <w:autoSpaceDE w:val="0"/>
        <w:widowControl/>
        <w:spacing w:line="228" w:lineRule="exact" w:before="404" w:after="0"/>
        <w:ind w:left="31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>6. Experiment</w:t>
      </w:r>
    </w:p>
    <w:p>
      <w:pPr>
        <w:autoSpaceDN w:val="0"/>
        <w:tabs>
          <w:tab w:pos="550" w:val="left"/>
        </w:tabs>
        <w:autoSpaceDE w:val="0"/>
        <w:widowControl/>
        <w:spacing w:line="240" w:lineRule="exact" w:before="234" w:after="0"/>
        <w:ind w:left="312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approbation of the proposed solutions in the learning process was carried out on the basis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individualized course "Simulation”. </w:t>
      </w:r>
    </w:p>
    <w:p>
      <w:pPr>
        <w:autoSpaceDN w:val="0"/>
        <w:autoSpaceDE w:val="0"/>
        <w:widowControl/>
        <w:spacing w:line="240" w:lineRule="auto" w:before="2" w:after="0"/>
        <w:ind w:left="3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18480" cy="31572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157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332" w:after="0"/>
        <w:ind w:left="3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1. CMKD fragment in IAES window </w:t>
      </w:r>
    </w:p>
    <w:p>
      <w:pPr>
        <w:autoSpaceDN w:val="0"/>
        <w:autoSpaceDE w:val="0"/>
        <w:widowControl/>
        <w:spacing w:line="240" w:lineRule="exact" w:before="240" w:after="0"/>
        <w:ind w:left="312" w:right="43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Fig. 1 the individual curse structures of the learning material on the CMKD and some it parameters was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presented, adapted to targets of particular student. Decision-making on management of the educational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process was based on a comprehensive analysis of the IAES educational applying the identified approach.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.99999999999997" w:type="dxa"/>
      </w:tblPr>
      <w:tblGrid>
        <w:gridCol w:w="4822"/>
        <w:gridCol w:w="4822"/>
      </w:tblGrid>
      <w:tr>
        <w:trPr>
          <w:trHeight w:hRule="exact" w:val="3186"/>
        </w:trPr>
        <w:tc>
          <w:tcPr>
            <w:tcW w:type="dxa" w:w="4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26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00019" cy="177038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19" cy="17703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78" w:lineRule="exact" w:before="158" w:after="0"/>
              <w:ind w:left="0" w:right="215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(a) </w:t>
            </w:r>
          </w:p>
        </w:tc>
        <w:tc>
          <w:tcPr>
            <w:tcW w:type="dxa" w:w="4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1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34919" cy="175387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919" cy="1753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78" w:lineRule="exact" w:before="158" w:after="0"/>
              <w:ind w:left="0" w:right="190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(b) </w:t>
            </w:r>
          </w:p>
        </w:tc>
      </w:tr>
    </w:tbl>
    <w:p>
      <w:pPr>
        <w:autoSpaceDN w:val="0"/>
        <w:autoSpaceDE w:val="0"/>
        <w:widowControl/>
        <w:spacing w:line="178" w:lineRule="exact" w:before="162" w:after="0"/>
        <w:ind w:left="31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2. The results of IAES-based pedagogical experiment </w:t>
      </w:r>
    </w:p>
    <w:p>
      <w:pPr>
        <w:sectPr>
          <w:pgSz w:w="10885" w:h="14854"/>
          <w:pgMar w:top="368" w:right="588" w:bottom="780" w:left="652" w:header="720" w:footer="720" w:gutter="0"/>
          <w:cols w:space="720" w:num="1" w:equalWidth="0">
            <w:col w:w="9646" w:space="0"/>
            <w:col w:w="9529" w:space="0"/>
            <w:col w:w="9338" w:space="0"/>
            <w:col w:w="9503" w:space="0"/>
            <w:col w:w="96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66" w:val="left"/>
        </w:tabs>
        <w:autoSpaceDE w:val="0"/>
        <w:widowControl/>
        <w:spacing w:line="176" w:lineRule="exact" w:before="0" w:after="0"/>
        <w:ind w:left="312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Victor Uglev /  AASRI Procedia  6 ( 2014 )  66 – 72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71</w:t>
      </w:r>
    </w:p>
    <w:p>
      <w:pPr>
        <w:autoSpaceDN w:val="0"/>
        <w:autoSpaceDE w:val="0"/>
        <w:widowControl/>
        <w:spacing w:line="240" w:lineRule="exact" w:before="444" w:after="0"/>
        <w:ind w:left="192" w:right="288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combining the capabilities of direct and indirect adaptation [Uglev and Samrina, 2008], development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tips and assessment of competencies a positive dynamics of self-study results presented at Fig. 2 was recorded: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(a) pooled group dynamics of the knowledge assessments of the results of the solutions of test materials; (b)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pooled dynamics on the level of competences development of a sampled learner (the tests were performed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a half - year interval, the confidence scale is normalized to the [-1;1] interval). </w:t>
      </w:r>
    </w:p>
    <w:p>
      <w:pPr>
        <w:autoSpaceDN w:val="0"/>
        <w:tabs>
          <w:tab w:pos="430" w:val="left"/>
        </w:tabs>
        <w:autoSpaceDE w:val="0"/>
        <w:widowControl/>
        <w:spacing w:line="240" w:lineRule="exact" w:before="0" w:after="0"/>
        <w:ind w:left="192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Approbation is also realized with some more courses and via operators learning applying space-using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equipment on the base programmed mathematical models. </w:t>
      </w:r>
    </w:p>
    <w:p>
      <w:pPr>
        <w:autoSpaceDN w:val="0"/>
        <w:autoSpaceDE w:val="0"/>
        <w:widowControl/>
        <w:spacing w:line="228" w:lineRule="exact" w:before="258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7. Conclusion and Future Works </w:t>
      </w:r>
    </w:p>
    <w:p>
      <w:pPr>
        <w:autoSpaceDN w:val="0"/>
        <w:autoSpaceDE w:val="0"/>
        <w:widowControl/>
        <w:spacing w:line="240" w:lineRule="exact" w:before="234" w:after="0"/>
        <w:ind w:left="192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Integrated automation of individualized learning means further research into the methodological,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technological and technical potential of intelligent algorithms application. Conflict resolution between target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plants student, teacher and tutor models can only be achieved by improving the technology of decision-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making applying core learning system. In this work we proposed a variant of the organization of such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technology. </w:t>
      </w:r>
    </w:p>
    <w:p>
      <w:pPr>
        <w:autoSpaceDN w:val="0"/>
        <w:autoSpaceDE w:val="0"/>
        <w:widowControl/>
        <w:spacing w:line="240" w:lineRule="exact" w:before="0" w:after="0"/>
        <w:ind w:left="192" w:right="462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Future work will focus on the following aspects of computer-based learning: a comprehensive integration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a model of tutor into the intellectual automated structure of the learning system, improvement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mechanisms for assessing the level of development of competencies (from the computer testing to work in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virtual laboratory and with programmed mathematical models) and the synthesis of a man-machine dialog in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natural language interaction form. </w:t>
      </w:r>
    </w:p>
    <w:p>
      <w:pPr>
        <w:autoSpaceDN w:val="0"/>
        <w:autoSpaceDE w:val="0"/>
        <w:widowControl/>
        <w:spacing w:line="230" w:lineRule="exact" w:before="482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Acknowledgements </w:t>
      </w:r>
    </w:p>
    <w:p>
      <w:pPr>
        <w:autoSpaceDN w:val="0"/>
        <w:tabs>
          <w:tab w:pos="430" w:val="left"/>
        </w:tabs>
        <w:autoSpaceDE w:val="0"/>
        <w:widowControl/>
        <w:spacing w:line="258" w:lineRule="exact" w:before="210" w:after="0"/>
        <w:ind w:left="192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research is supported by the Ministry of Education and Science of the Russian Federation in Siberian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Federal University (contract � 02.G25.31.0041). </w:t>
      </w:r>
    </w:p>
    <w:p>
      <w:pPr>
        <w:autoSpaceDN w:val="0"/>
        <w:autoSpaceDE w:val="0"/>
        <w:widowControl/>
        <w:spacing w:line="230" w:lineRule="exact" w:before="464" w:after="0"/>
        <w:ind w:left="192" w:right="0" w:firstLine="0"/>
        <w:jc w:val="left"/>
      </w:pPr>
      <w:r>
        <w:rPr>
          <w:rFonts w:ascii="Times" w:hAnsi="Times" w:eastAsia="Time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46" w:lineRule="exact" w:before="174" w:after="0"/>
        <w:ind w:left="192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Schejbal D. In Search a New Paradigm of Higher Education. Innovative Higher Education, Shpringer,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2012:�37: 373-386 (DOI: 10.1007/s10755-012-9218-z). </w:t>
      </w:r>
    </w:p>
    <w:p>
      <w:pPr>
        <w:autoSpaceDN w:val="0"/>
        <w:autoSpaceDE w:val="0"/>
        <w:widowControl/>
        <w:spacing w:line="228" w:lineRule="exact" w:before="0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Uglev V.A., Samrina F.I. Using of possibilities in learning tests for individualization of displaying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material in Electronic Education Courses. Modern Techniques and Technologies (MTT’2008), Tomsk, 2008: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96 – 100 (DOI: 10.1109/SPCMTT.2008.4897509). </w:t>
      </w:r>
    </w:p>
    <w:p>
      <w:pPr>
        <w:autoSpaceDN w:val="0"/>
        <w:autoSpaceDE w:val="0"/>
        <w:widowControl/>
        <w:spacing w:line="240" w:lineRule="exact" w:before="0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Uglev V.A. On the specificity of individualization of training in Automated Training Systems.  Philosophy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Education, 2010: �2: 68-74. Available at: www.phil-ed.ru/Text/NamberJourn.html (in Russian). </w:t>
      </w:r>
    </w:p>
    <w:p>
      <w:pPr>
        <w:autoSpaceDN w:val="0"/>
        <w:autoSpaceDE w:val="0"/>
        <w:widowControl/>
        <w:spacing w:line="222" w:lineRule="exact" w:before="0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Dendeva B. Information and communication technology in education. Moscow: IITE UNESCO; 2013. </w:t>
      </w:r>
    </w:p>
    <w:p>
      <w:pPr>
        <w:autoSpaceDN w:val="0"/>
        <w:autoSpaceDE w:val="0"/>
        <w:widowControl/>
        <w:spacing w:line="240" w:lineRule="exact" w:before="0" w:after="0"/>
        <w:ind w:left="192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[5] Karpenko A.P., Dobryakov A.A. Model for Automated Training Systems. Overview. Science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Education, 2011: �7. Available at: technomag.bmstu.ru/doc/193116.htm (in Russian). </w:t>
      </w:r>
    </w:p>
    <w:p>
      <w:pPr>
        <w:autoSpaceDN w:val="0"/>
        <w:autoSpaceDE w:val="0"/>
        <w:widowControl/>
        <w:spacing w:line="236" w:lineRule="exact" w:before="0" w:after="0"/>
        <w:ind w:left="192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[6] Brusilovsky P. Adaptive and Intelligent Web-based Educational Systems. International Jornal of AI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Education, 2003: �13: 156-169. Available at: www.sis.pitt.edu. </w:t>
      </w:r>
    </w:p>
    <w:p>
      <w:pPr>
        <w:autoSpaceDN w:val="0"/>
        <w:autoSpaceDE w:val="0"/>
        <w:widowControl/>
        <w:spacing w:line="228" w:lineRule="exact" w:before="0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[7] Uglev V.A. Intellectual Control Algorithm Interaction improvement by the Users Education Process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Automation Education Systems. International Siberian Conference on Control and Communications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(SIBCON). Krasnoyarsk, 2011: 143-146 (DOI: 10.1109/SIBCON.2011.6072615). </w:t>
      </w:r>
    </w:p>
    <w:p>
      <w:pPr>
        <w:autoSpaceDN w:val="0"/>
        <w:autoSpaceDE w:val="0"/>
        <w:widowControl/>
        <w:spacing w:line="230" w:lineRule="exact" w:before="0" w:after="0"/>
        <w:ind w:left="19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[8] Anokhin P.K. Biology and Neurophysiology of the Conditioned Reflex and Its Role in Adaptive Behavior.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Oxford: Pergamon; 1974. </w:t>
      </w:r>
    </w:p>
    <w:p>
      <w:pPr>
        <w:autoSpaceDN w:val="0"/>
        <w:autoSpaceDE w:val="0"/>
        <w:widowControl/>
        <w:spacing w:line="222" w:lineRule="exact" w:before="10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[9] Theory of Functional Systems (WIKI)  at http://en.wikipedia.org/wiki/Theory_of_functional_systems. </w:t>
      </w:r>
    </w:p>
    <w:p>
      <w:pPr>
        <w:sectPr>
          <w:pgSz w:w="10885" w:h="14854"/>
          <w:pgMar w:top="368" w:right="540" w:bottom="752" w:left="792" w:header="720" w:footer="720" w:gutter="0"/>
          <w:cols w:space="720" w:num="1" w:equalWidth="0">
            <w:col w:w="9553" w:space="0"/>
            <w:col w:w="9646" w:space="0"/>
            <w:col w:w="9529" w:space="0"/>
            <w:col w:w="9338" w:space="0"/>
            <w:col w:w="9503" w:space="0"/>
            <w:col w:w="961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8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72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Victor Uglev /  AASRI Procedia  6 ( 2014 )  66 – 72 </w:t>
      </w:r>
    </w:p>
    <w:p>
      <w:pPr>
        <w:autoSpaceDN w:val="0"/>
        <w:autoSpaceDE w:val="0"/>
        <w:widowControl/>
        <w:spacing w:line="264" w:lineRule="exact" w:before="372" w:after="0"/>
        <w:ind w:left="2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[10] Zadeh L. Fuzzy Logic. Computer, 1988: �4: 83-93 (DOI: 10.1109/2.53). </w:t>
      </w:r>
    </w:p>
    <w:p>
      <w:pPr>
        <w:autoSpaceDN w:val="0"/>
        <w:autoSpaceDE w:val="0"/>
        <w:widowControl/>
        <w:spacing w:line="226" w:lineRule="exact" w:before="0" w:after="0"/>
        <w:ind w:left="144" w:right="576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[11] Dobronets B.S., Popova O.A. Numerical probabilistic analysis under aleatory and epistemic uncertainty.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15 GAMM-IMACS Iternational Symposium SCAN’12.Institute of Computational Technologies, 2012:33–34. </w:t>
      </w:r>
    </w:p>
    <w:p>
      <w:pPr>
        <w:autoSpaceDN w:val="0"/>
        <w:autoSpaceDE w:val="0"/>
        <w:widowControl/>
        <w:spacing w:line="234" w:lineRule="exact" w:before="0" w:after="0"/>
        <w:ind w:left="20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[12] Nechaev Yu.I., Degtyarev A.B., Boukhanovsky A.V. Cognitive computer graphics for information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interpretation in real time intelligence systems. Lecture Notes in Computer Science, 2002: �2329: 683-692.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[13] Shteinberg V. Didactic multidimensional tools: theory, technique, practice. Moscow; 2002 (In Russian ).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[14] Gladun A.J., Rigushina J.V., Schreurs J. Domain Ontology, an Instrument of Semantic Web Knowledge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Menegment in E-Learning. iJAC, 2012: �5(4): 22-31. Available at: i-jac.org. </w:t>
      </w:r>
    </w:p>
    <w:p>
      <w:pPr>
        <w:autoSpaceDN w:val="0"/>
        <w:autoSpaceDE w:val="0"/>
        <w:widowControl/>
        <w:spacing w:line="212" w:lineRule="exact" w:before="50" w:after="0"/>
        <w:ind w:left="20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[15] Uglev V.A. The Cognitive Maps of Knowledge Diagnosis. Open and Distance Learning, 2012:�4(48):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17-23. Available at: ido.tsu.ru/other_res/pdf/48-4.pdf (in Russian). </w:t>
      </w:r>
    </w:p>
    <w:p>
      <w:pPr>
        <w:autoSpaceDN w:val="0"/>
        <w:autoSpaceDE w:val="0"/>
        <w:widowControl/>
        <w:spacing w:line="240" w:lineRule="exact" w:before="0" w:after="0"/>
        <w:ind w:left="20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[16] Kovaleva T.M. Personality-resource map as a didactic tool for implementation of anthropological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approach in education. The Emissia.Offline Letters, 2012: �2: ART 1381 at www.emissia.org (in Russian). </w:t>
      </w:r>
    </w:p>
    <w:sectPr w:rsidR="00FC693F" w:rsidRPr="0006063C" w:rsidSect="00034616">
      <w:pgSz w:w="10885" w:h="14854"/>
      <w:pgMar w:top="368" w:right="588" w:bottom="780" w:left="652" w:header="720" w:footer="720" w:gutter="0"/>
      <w:cols w:space="720" w:num="1" w:equalWidth="0">
        <w:col w:w="9646" w:space="0"/>
        <w:col w:w="9553" w:space="0"/>
        <w:col w:w="9646" w:space="0"/>
        <w:col w:w="9529" w:space="0"/>
        <w:col w:w="9338" w:space="0"/>
        <w:col w:w="9503" w:space="0"/>
        <w:col w:w="961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